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E32" w:rsidRPr="00717FEC" w:rsidRDefault="007A7E32" w:rsidP="007A7E32">
      <w:pPr>
        <w:ind w:right="-2"/>
        <w:rPr>
          <w:rFonts w:ascii="Arial Narrow" w:hAnsi="Arial Narrow"/>
          <w:b/>
          <w:sz w:val="24"/>
          <w:szCs w:val="24"/>
          <w:lang w:val="bg-BG"/>
        </w:rPr>
      </w:pPr>
      <w:bookmarkStart w:id="0" w:name="_GoBack"/>
      <w:bookmarkEnd w:id="0"/>
    </w:p>
    <w:p w:rsidR="00B67DA3" w:rsidRPr="00D51D60" w:rsidRDefault="00B67DA3" w:rsidP="00251C6C">
      <w:pPr>
        <w:ind w:left="5760" w:right="-2" w:hanging="373"/>
        <w:jc w:val="both"/>
        <w:rPr>
          <w:rFonts w:ascii="Arial Narrow" w:hAnsi="Arial Narrow"/>
          <w:b/>
          <w:sz w:val="24"/>
          <w:szCs w:val="24"/>
          <w:lang w:val="bg-BG"/>
        </w:rPr>
      </w:pPr>
      <w:r w:rsidRPr="00D51D60">
        <w:rPr>
          <w:rFonts w:ascii="Arial Narrow" w:hAnsi="Arial Narrow"/>
          <w:b/>
          <w:sz w:val="24"/>
          <w:szCs w:val="24"/>
          <w:lang w:val="bg-BG"/>
        </w:rPr>
        <w:t xml:space="preserve">ДО </w:t>
      </w:r>
    </w:p>
    <w:p w:rsidR="00251C6C" w:rsidRPr="00D51D60" w:rsidRDefault="00EE2711" w:rsidP="007C1C79">
      <w:pPr>
        <w:ind w:left="5387" w:right="-2"/>
        <w:jc w:val="both"/>
        <w:rPr>
          <w:rFonts w:ascii="Arial Narrow" w:hAnsi="Arial Narrow"/>
          <w:b/>
          <w:sz w:val="24"/>
          <w:szCs w:val="24"/>
          <w:lang w:val="bg-BG"/>
        </w:rPr>
      </w:pPr>
      <w:r w:rsidRPr="00D51D60">
        <w:rPr>
          <w:rFonts w:ascii="Arial Narrow" w:hAnsi="Arial Narrow"/>
          <w:b/>
          <w:sz w:val="24"/>
          <w:szCs w:val="24"/>
          <w:lang w:val="bg-BG"/>
        </w:rPr>
        <w:t xml:space="preserve">ВСИЧКИ </w:t>
      </w:r>
      <w:r w:rsidR="007C1C79" w:rsidRPr="00D51D60">
        <w:rPr>
          <w:rFonts w:ascii="Arial Narrow" w:hAnsi="Arial Narrow"/>
          <w:b/>
          <w:sz w:val="24"/>
          <w:szCs w:val="24"/>
          <w:lang w:val="bg-BG"/>
        </w:rPr>
        <w:t xml:space="preserve">БАНКИ, ЛИЦЕНЗИРАНИ В </w:t>
      </w:r>
      <w:r w:rsidR="001F7AE2" w:rsidRPr="00D51D60">
        <w:rPr>
          <w:rFonts w:ascii="Arial Narrow" w:hAnsi="Arial Narrow"/>
          <w:b/>
          <w:sz w:val="24"/>
          <w:szCs w:val="24"/>
          <w:lang w:val="bg-BG"/>
        </w:rPr>
        <w:t>РЕПУБЛИКА БЪЛГАРИЯ</w:t>
      </w:r>
      <w:r w:rsidRPr="00D51D60">
        <w:rPr>
          <w:rFonts w:ascii="Arial Narrow" w:hAnsi="Arial Narrow"/>
          <w:b/>
          <w:sz w:val="24"/>
          <w:szCs w:val="24"/>
          <w:lang w:val="bg-BG"/>
        </w:rPr>
        <w:t xml:space="preserve"> </w:t>
      </w:r>
    </w:p>
    <w:p w:rsidR="00D96C2E" w:rsidRPr="00D51D60" w:rsidRDefault="00D96C2E" w:rsidP="00251C6C">
      <w:pPr>
        <w:ind w:left="5760" w:right="-2" w:hanging="373"/>
        <w:jc w:val="both"/>
        <w:rPr>
          <w:rFonts w:ascii="Arial Narrow" w:hAnsi="Arial Narrow"/>
          <w:b/>
          <w:sz w:val="24"/>
          <w:szCs w:val="24"/>
          <w:lang w:val="bg-BG"/>
        </w:rPr>
      </w:pPr>
    </w:p>
    <w:p w:rsidR="00691587" w:rsidRDefault="00691587" w:rsidP="00251C6C">
      <w:pPr>
        <w:ind w:right="-2"/>
        <w:jc w:val="center"/>
        <w:outlineLvl w:val="0"/>
        <w:rPr>
          <w:rFonts w:ascii="Arial Narrow" w:hAnsi="Arial Narrow"/>
          <w:b/>
          <w:i/>
          <w:sz w:val="24"/>
          <w:szCs w:val="24"/>
          <w:lang w:val="bg-BG"/>
        </w:rPr>
      </w:pPr>
      <w:r>
        <w:rPr>
          <w:rFonts w:ascii="Arial Narrow" w:hAnsi="Arial Narrow"/>
          <w:b/>
          <w:i/>
          <w:sz w:val="24"/>
          <w:szCs w:val="24"/>
          <w:lang w:val="bg-BG"/>
        </w:rPr>
        <w:t>РАЗЯСНЕНИЯ</w:t>
      </w:r>
    </w:p>
    <w:p w:rsidR="00691587" w:rsidRDefault="00691587" w:rsidP="00251C6C">
      <w:pPr>
        <w:ind w:right="-2"/>
        <w:jc w:val="center"/>
        <w:outlineLvl w:val="0"/>
        <w:rPr>
          <w:rFonts w:ascii="Arial Narrow" w:hAnsi="Arial Narrow"/>
          <w:b/>
          <w:i/>
          <w:sz w:val="24"/>
          <w:szCs w:val="24"/>
          <w:lang w:val="bg-BG"/>
        </w:rPr>
      </w:pPr>
      <w:r>
        <w:rPr>
          <w:rFonts w:ascii="Arial Narrow" w:hAnsi="Arial Narrow"/>
          <w:b/>
          <w:i/>
          <w:sz w:val="24"/>
          <w:szCs w:val="24"/>
          <w:lang w:val="bg-BG"/>
        </w:rPr>
        <w:t xml:space="preserve">към </w:t>
      </w:r>
    </w:p>
    <w:p w:rsidR="00007F18" w:rsidRPr="00D51D60" w:rsidRDefault="00251C6C"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П О К А Н А</w:t>
      </w:r>
      <w:r w:rsidR="00EE2711" w:rsidRPr="00D51D60">
        <w:rPr>
          <w:rFonts w:ascii="Arial Narrow" w:hAnsi="Arial Narrow"/>
          <w:b/>
          <w:i/>
          <w:sz w:val="24"/>
          <w:szCs w:val="24"/>
          <w:lang w:val="bg-BG"/>
        </w:rPr>
        <w:t xml:space="preserve">   З А   О Ф Е Р Т И</w:t>
      </w:r>
      <w:r w:rsidR="00007F18" w:rsidRPr="00D51D60">
        <w:rPr>
          <w:rFonts w:ascii="Arial Narrow" w:hAnsi="Arial Narrow"/>
          <w:b/>
          <w:i/>
          <w:sz w:val="24"/>
          <w:szCs w:val="24"/>
          <w:lang w:val="bg-BG"/>
        </w:rPr>
        <w:t xml:space="preserve"> </w:t>
      </w:r>
    </w:p>
    <w:p w:rsidR="00007F18"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 xml:space="preserve">ЗА ПРЕДОСТАВЯНЕ НА ФИНАНСОВИ УСЛУГИ </w:t>
      </w:r>
    </w:p>
    <w:p w:rsidR="00251C6C" w:rsidRPr="00D51D60" w:rsidRDefault="00007F18" w:rsidP="00251C6C">
      <w:pPr>
        <w:ind w:right="-2"/>
        <w:jc w:val="center"/>
        <w:outlineLvl w:val="0"/>
        <w:rPr>
          <w:rFonts w:ascii="Arial Narrow" w:hAnsi="Arial Narrow"/>
          <w:b/>
          <w:i/>
          <w:sz w:val="24"/>
          <w:szCs w:val="24"/>
          <w:lang w:val="bg-BG"/>
        </w:rPr>
      </w:pPr>
      <w:r w:rsidRPr="00D51D60">
        <w:rPr>
          <w:rFonts w:ascii="Arial Narrow" w:hAnsi="Arial Narrow"/>
          <w:b/>
          <w:i/>
          <w:sz w:val="24"/>
          <w:szCs w:val="24"/>
          <w:lang w:val="bg-BG"/>
        </w:rPr>
        <w:t>НА „ИНФОРМАЦИОННО ОБСЛУЖВАНЕ“</w:t>
      </w:r>
      <w:r w:rsidR="00961890" w:rsidRPr="00D51D60">
        <w:rPr>
          <w:rFonts w:ascii="Arial Narrow" w:hAnsi="Arial Narrow"/>
          <w:b/>
          <w:i/>
          <w:sz w:val="24"/>
          <w:szCs w:val="24"/>
          <w:lang w:val="bg-BG"/>
        </w:rPr>
        <w:t xml:space="preserve"> </w:t>
      </w:r>
      <w:r w:rsidRPr="00D51D60">
        <w:rPr>
          <w:rFonts w:ascii="Arial Narrow" w:hAnsi="Arial Narrow"/>
          <w:b/>
          <w:i/>
          <w:sz w:val="24"/>
          <w:szCs w:val="24"/>
          <w:lang w:val="bg-BG"/>
        </w:rPr>
        <w:t>АД</w:t>
      </w:r>
    </w:p>
    <w:p w:rsidR="004D1CB0" w:rsidRDefault="00251C6C" w:rsidP="00D345A8">
      <w:pPr>
        <w:shd w:val="clear" w:color="auto" w:fill="FFFFFF"/>
        <w:spacing w:line="240" w:lineRule="auto"/>
        <w:ind w:left="28" w:right="6"/>
        <w:jc w:val="both"/>
        <w:rPr>
          <w:rFonts w:ascii="Arial Narrow" w:hAnsi="Arial Narrow"/>
          <w:sz w:val="24"/>
          <w:szCs w:val="24"/>
          <w:lang w:val="bg-BG"/>
        </w:rPr>
      </w:pPr>
      <w:r w:rsidRPr="00D51D60">
        <w:rPr>
          <w:rFonts w:ascii="Arial Narrow" w:hAnsi="Arial Narrow"/>
          <w:sz w:val="24"/>
          <w:szCs w:val="24"/>
          <w:lang w:val="bg-BG"/>
        </w:rPr>
        <w:tab/>
      </w:r>
    </w:p>
    <w:p w:rsidR="004D1CB0" w:rsidRPr="004D1CB0" w:rsidRDefault="004D1CB0" w:rsidP="00A4148F">
      <w:pPr>
        <w:shd w:val="clear" w:color="auto" w:fill="FFFFFF"/>
        <w:spacing w:line="240" w:lineRule="auto"/>
        <w:ind w:left="28" w:right="6" w:firstLine="680"/>
        <w:jc w:val="both"/>
        <w:rPr>
          <w:rFonts w:ascii="Arial Narrow" w:hAnsi="Arial Narrow"/>
          <w:sz w:val="24"/>
          <w:szCs w:val="24"/>
          <w:lang w:val="bg-BG"/>
        </w:rPr>
      </w:pPr>
      <w:r>
        <w:rPr>
          <w:rFonts w:ascii="Arial Narrow" w:hAnsi="Arial Narrow"/>
          <w:sz w:val="24"/>
          <w:szCs w:val="24"/>
          <w:lang w:val="bg-BG"/>
        </w:rPr>
        <w:t xml:space="preserve">Във връзка с </w:t>
      </w:r>
      <w:r w:rsidR="00A4148F">
        <w:rPr>
          <w:rFonts w:ascii="Arial Narrow" w:hAnsi="Arial Narrow"/>
          <w:sz w:val="24"/>
          <w:szCs w:val="24"/>
          <w:lang w:val="bg-BG"/>
        </w:rPr>
        <w:t xml:space="preserve">отправени въпроси и искане за разяснения към </w:t>
      </w:r>
      <w:r>
        <w:rPr>
          <w:rFonts w:ascii="Arial Narrow" w:hAnsi="Arial Narrow"/>
          <w:sz w:val="24"/>
          <w:szCs w:val="24"/>
          <w:lang w:val="bg-BG"/>
        </w:rPr>
        <w:t>процедура с предмет: „</w:t>
      </w:r>
      <w:r w:rsidRPr="004D1CB0">
        <w:rPr>
          <w:rFonts w:ascii="Arial Narrow" w:hAnsi="Arial Narrow"/>
          <w:sz w:val="24"/>
          <w:szCs w:val="24"/>
          <w:lang w:val="bg-BG"/>
        </w:rPr>
        <w:t>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1: Откриване и обслужване на депозитни сметки.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2: Откриване и обслужване на разплащателни сметки; касови операции и инкасо услуги.</w:t>
      </w:r>
    </w:p>
    <w:p w:rsidR="004D1CB0" w:rsidRP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Обособена позиция 3: Финансиране - банкови гаранции,</w:t>
      </w:r>
    </w:p>
    <w:p w:rsidR="004D1CB0" w:rsidRDefault="004D1CB0" w:rsidP="004D1CB0">
      <w:pPr>
        <w:shd w:val="clear" w:color="auto" w:fill="FFFFFF"/>
        <w:spacing w:line="240" w:lineRule="auto"/>
        <w:ind w:left="28" w:right="6"/>
        <w:jc w:val="both"/>
        <w:rPr>
          <w:rFonts w:ascii="Arial Narrow" w:hAnsi="Arial Narrow"/>
          <w:sz w:val="24"/>
          <w:szCs w:val="24"/>
          <w:lang w:val="bg-BG"/>
        </w:rPr>
      </w:pPr>
      <w:r w:rsidRPr="004D1CB0">
        <w:rPr>
          <w:rFonts w:ascii="Arial Narrow" w:hAnsi="Arial Narrow"/>
          <w:sz w:val="24"/>
          <w:szCs w:val="24"/>
          <w:lang w:val="bg-BG"/>
        </w:rPr>
        <w:t>„Информационно обслужване“ АД прави следните уточнения:</w:t>
      </w:r>
    </w:p>
    <w:p w:rsidR="00A4148F" w:rsidRDefault="00A4148F"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Въпрос</w:t>
      </w:r>
      <w:r w:rsidR="009F696A">
        <w:rPr>
          <w:rFonts w:ascii="Arial Narrow" w:hAnsi="Arial Narrow"/>
          <w:sz w:val="24"/>
          <w:szCs w:val="24"/>
        </w:rPr>
        <w:t xml:space="preserve"> 1</w:t>
      </w:r>
      <w:r>
        <w:rPr>
          <w:rFonts w:ascii="Arial Narrow" w:hAnsi="Arial Narrow"/>
          <w:sz w:val="24"/>
          <w:szCs w:val="24"/>
          <w:lang w:val="bg-BG"/>
        </w:rPr>
        <w:t>:</w:t>
      </w:r>
    </w:p>
    <w:p w:rsidR="00A4148F" w:rsidRDefault="003825AE" w:rsidP="00A4148F">
      <w:pPr>
        <w:shd w:val="clear" w:color="auto" w:fill="FFFFFF"/>
        <w:spacing w:line="240" w:lineRule="auto"/>
        <w:ind w:left="28" w:right="6"/>
        <w:jc w:val="both"/>
        <w:rPr>
          <w:rFonts w:ascii="Arial Narrow" w:hAnsi="Arial Narrow"/>
          <w:sz w:val="24"/>
          <w:szCs w:val="24"/>
          <w:lang w:val="bg-BG"/>
        </w:rPr>
      </w:pPr>
      <w:r w:rsidRPr="003825AE">
        <w:rPr>
          <w:rFonts w:ascii="Arial Narrow" w:hAnsi="Arial Narrow"/>
          <w:sz w:val="24"/>
          <w:szCs w:val="24"/>
          <w:lang w:val="bg-BG"/>
        </w:rPr>
        <w:t>Таблица № 3 на стр. 4 от поканата  се отнася за срок на обслужване на плащанията. По какъв начин се декларират тези времена и в каква форма</w:t>
      </w:r>
      <w:r>
        <w:rPr>
          <w:rFonts w:ascii="Arial Narrow" w:hAnsi="Arial Narrow"/>
          <w:sz w:val="24"/>
          <w:szCs w:val="24"/>
          <w:lang w:val="bg-BG"/>
        </w:rPr>
        <w:t>?</w:t>
      </w:r>
      <w:r w:rsidRPr="003825AE">
        <w:rPr>
          <w:rFonts w:ascii="Arial Narrow" w:hAnsi="Arial Narrow"/>
          <w:sz w:val="24"/>
          <w:szCs w:val="24"/>
          <w:lang w:val="bg-BG"/>
        </w:rPr>
        <w:t xml:space="preserve"> В Приложение 2 в което се оферират неколичествените показатели и към което се прилагат допълнителните документи свързани с тях, липсва точка касаеща срока на обслужване на плащанията.</w:t>
      </w:r>
    </w:p>
    <w:p w:rsidR="003825AE" w:rsidRDefault="003825AE"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Отговор:</w:t>
      </w:r>
    </w:p>
    <w:p w:rsidR="003825AE" w:rsidRPr="008874DE" w:rsidRDefault="003825AE" w:rsidP="00A4148F">
      <w:pPr>
        <w:shd w:val="clear" w:color="auto" w:fill="FFFFFF"/>
        <w:spacing w:line="240" w:lineRule="auto"/>
        <w:ind w:left="28" w:right="6"/>
        <w:jc w:val="both"/>
        <w:rPr>
          <w:rFonts w:ascii="Arial Narrow" w:hAnsi="Arial Narrow"/>
          <w:sz w:val="24"/>
          <w:szCs w:val="24"/>
        </w:rPr>
      </w:pPr>
      <w:r>
        <w:rPr>
          <w:rFonts w:ascii="Arial Narrow" w:hAnsi="Arial Narrow"/>
          <w:sz w:val="24"/>
          <w:szCs w:val="24"/>
          <w:lang w:val="bg-BG"/>
        </w:rPr>
        <w:t>Участникът декларира възможността за изпълнение на е</w:t>
      </w:r>
      <w:r w:rsidR="00BD1CC6">
        <w:rPr>
          <w:rFonts w:ascii="Arial Narrow" w:hAnsi="Arial Narrow"/>
          <w:sz w:val="24"/>
          <w:szCs w:val="24"/>
          <w:lang w:val="bg-BG"/>
        </w:rPr>
        <w:t>дин</w:t>
      </w:r>
      <w:r>
        <w:rPr>
          <w:rFonts w:ascii="Arial Narrow" w:hAnsi="Arial Narrow"/>
          <w:sz w:val="24"/>
          <w:szCs w:val="24"/>
          <w:lang w:val="bg-BG"/>
        </w:rPr>
        <w:t xml:space="preserve"> от дв</w:t>
      </w:r>
      <w:r w:rsidR="00BD1CC6">
        <w:rPr>
          <w:rFonts w:ascii="Arial Narrow" w:hAnsi="Arial Narrow"/>
          <w:sz w:val="24"/>
          <w:szCs w:val="24"/>
          <w:lang w:val="bg-BG"/>
        </w:rPr>
        <w:t>ата</w:t>
      </w:r>
      <w:r>
        <w:rPr>
          <w:rFonts w:ascii="Arial Narrow" w:hAnsi="Arial Narrow"/>
          <w:sz w:val="24"/>
          <w:szCs w:val="24"/>
          <w:lang w:val="bg-BG"/>
        </w:rPr>
        <w:t xml:space="preserve"> </w:t>
      </w:r>
      <w:r w:rsidR="00BD1CC6">
        <w:rPr>
          <w:rFonts w:ascii="Arial Narrow" w:hAnsi="Arial Narrow"/>
          <w:sz w:val="24"/>
          <w:szCs w:val="24"/>
          <w:lang w:val="bg-BG"/>
        </w:rPr>
        <w:t>срока</w:t>
      </w:r>
      <w:r>
        <w:rPr>
          <w:rFonts w:ascii="Arial Narrow" w:hAnsi="Arial Narrow"/>
          <w:sz w:val="24"/>
          <w:szCs w:val="24"/>
          <w:lang w:val="bg-BG"/>
        </w:rPr>
        <w:t xml:space="preserve"> в свободен текст </w:t>
      </w:r>
      <w:r w:rsidR="00827D36">
        <w:rPr>
          <w:rFonts w:ascii="Arial Narrow" w:hAnsi="Arial Narrow"/>
          <w:sz w:val="24"/>
          <w:szCs w:val="24"/>
          <w:lang w:val="bg-BG"/>
        </w:rPr>
        <w:t>в офертата съгласно Приложение № 2 към поканата за оферти.</w:t>
      </w:r>
    </w:p>
    <w:p w:rsidR="003825AE" w:rsidRDefault="003825AE"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Въпрос</w:t>
      </w:r>
      <w:r w:rsidR="0006447B">
        <w:rPr>
          <w:rFonts w:ascii="Arial Narrow" w:hAnsi="Arial Narrow"/>
          <w:sz w:val="24"/>
          <w:szCs w:val="24"/>
        </w:rPr>
        <w:t xml:space="preserve"> 2:</w:t>
      </w:r>
    </w:p>
    <w:p w:rsidR="003825AE" w:rsidRDefault="003825AE" w:rsidP="00A4148F">
      <w:pPr>
        <w:shd w:val="clear" w:color="auto" w:fill="FFFFFF"/>
        <w:spacing w:line="240" w:lineRule="auto"/>
        <w:ind w:left="28" w:right="6"/>
        <w:jc w:val="both"/>
        <w:rPr>
          <w:rFonts w:ascii="Arial Narrow" w:hAnsi="Arial Narrow"/>
          <w:sz w:val="24"/>
          <w:szCs w:val="24"/>
          <w:lang w:val="bg-BG"/>
        </w:rPr>
      </w:pPr>
      <w:r w:rsidRPr="003825AE">
        <w:rPr>
          <w:rFonts w:ascii="Arial Narrow" w:hAnsi="Arial Narrow"/>
          <w:sz w:val="24"/>
          <w:szCs w:val="24"/>
          <w:lang w:val="bg-BG"/>
        </w:rPr>
        <w:t>Има разминаване в Таблица № 4 т. 1.4  в описателната част на поканата</w:t>
      </w:r>
      <w:r w:rsidR="00503D2E">
        <w:rPr>
          <w:rFonts w:ascii="Arial Narrow" w:hAnsi="Arial Narrow"/>
          <w:sz w:val="24"/>
          <w:szCs w:val="24"/>
        </w:rPr>
        <w:t>,</w:t>
      </w:r>
      <w:r w:rsidRPr="003825AE">
        <w:rPr>
          <w:rFonts w:ascii="Arial Narrow" w:hAnsi="Arial Narrow"/>
          <w:sz w:val="24"/>
          <w:szCs w:val="24"/>
          <w:lang w:val="bg-BG"/>
        </w:rPr>
        <w:t xml:space="preserve"> къде</w:t>
      </w:r>
      <w:r w:rsidR="00503D2E">
        <w:rPr>
          <w:rFonts w:ascii="Arial Narrow" w:hAnsi="Arial Narrow"/>
          <w:sz w:val="24"/>
          <w:szCs w:val="24"/>
          <w:lang w:val="bg-BG"/>
        </w:rPr>
        <w:t>то</w:t>
      </w:r>
      <w:r w:rsidRPr="003825AE">
        <w:rPr>
          <w:rFonts w:ascii="Arial Narrow" w:hAnsi="Arial Narrow"/>
          <w:sz w:val="24"/>
          <w:szCs w:val="24"/>
          <w:lang w:val="bg-BG"/>
        </w:rPr>
        <w:t xml:space="preserve"> условието за минимално салдо е до 2 лева, а в Приложение 3.2. условието е 0 лв. В разясненията условието е до 2 лв.</w:t>
      </w: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825AE" w:rsidRDefault="003825AE"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lastRenderedPageBreak/>
        <w:t>Отговор:</w:t>
      </w:r>
    </w:p>
    <w:p w:rsidR="003825AE" w:rsidRDefault="00C04C64"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Условието в т. 1.4. от Таблица № 4, е неснижаемият минимален остатък по сметката да е 2 лева. Участникът отговаря с „ДА“ или „НЕ“ на условието по това изискване в Приложение 3.2.</w:t>
      </w:r>
      <w:r w:rsidR="00350E48">
        <w:rPr>
          <w:rFonts w:ascii="Arial Narrow" w:hAnsi="Arial Narrow"/>
          <w:sz w:val="24"/>
          <w:szCs w:val="24"/>
          <w:lang w:val="bg-BG"/>
        </w:rPr>
        <w:t xml:space="preserve">, като </w:t>
      </w:r>
      <w:r w:rsidR="00402115">
        <w:rPr>
          <w:rFonts w:ascii="Arial Narrow" w:hAnsi="Arial Narrow"/>
          <w:sz w:val="24"/>
          <w:szCs w:val="24"/>
          <w:lang w:val="bg-BG"/>
        </w:rPr>
        <w:t>условието</w:t>
      </w:r>
      <w:r w:rsidR="00350E48">
        <w:rPr>
          <w:rFonts w:ascii="Arial Narrow" w:hAnsi="Arial Narrow"/>
          <w:sz w:val="24"/>
          <w:szCs w:val="24"/>
          <w:lang w:val="bg-BG"/>
        </w:rPr>
        <w:t xml:space="preserve"> е </w:t>
      </w:r>
      <w:r w:rsidR="00402115">
        <w:rPr>
          <w:rFonts w:ascii="Arial Narrow" w:hAnsi="Arial Narrow"/>
          <w:sz w:val="24"/>
          <w:szCs w:val="24"/>
          <w:lang w:val="bg-BG"/>
        </w:rPr>
        <w:t>коригирано в приложения нов образец на Приложение 3.2.</w:t>
      </w:r>
    </w:p>
    <w:p w:rsidR="00350E48" w:rsidRDefault="00402115"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Въпрос 3:</w:t>
      </w:r>
    </w:p>
    <w:p w:rsidR="00350E48" w:rsidRDefault="00350E48" w:rsidP="00A4148F">
      <w:pPr>
        <w:shd w:val="clear" w:color="auto" w:fill="FFFFFF"/>
        <w:spacing w:line="240" w:lineRule="auto"/>
        <w:ind w:left="28" w:right="6"/>
        <w:jc w:val="both"/>
        <w:rPr>
          <w:rFonts w:ascii="Arial Narrow" w:hAnsi="Arial Narrow"/>
          <w:sz w:val="24"/>
          <w:szCs w:val="24"/>
          <w:lang w:val="bg-BG"/>
        </w:rPr>
      </w:pPr>
      <w:r w:rsidRPr="00350E48">
        <w:rPr>
          <w:rFonts w:ascii="Arial Narrow" w:hAnsi="Arial Narrow"/>
          <w:sz w:val="24"/>
          <w:szCs w:val="24"/>
          <w:lang w:val="bg-BG"/>
        </w:rPr>
        <w:t>В същата таблица 4, т.1.5 в описателната част е различна от т. 1.5. в Приложение 3.2.</w:t>
      </w:r>
    </w:p>
    <w:p w:rsidR="00350E48" w:rsidRDefault="00350E48"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Отговор:</w:t>
      </w:r>
    </w:p>
    <w:p w:rsidR="00350E48" w:rsidRDefault="00350E48"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Публикуваме коригирано  Приложение 3.2., съответстващо на Таблица № 4</w:t>
      </w:r>
      <w:r w:rsidR="00F80651">
        <w:rPr>
          <w:rFonts w:ascii="Arial Narrow" w:hAnsi="Arial Narrow"/>
          <w:sz w:val="24"/>
          <w:szCs w:val="24"/>
          <w:lang w:val="bg-BG"/>
        </w:rPr>
        <w:t>, което следва да се счита за образец на Приложение 3.2 към поканата за оферти и да се представи от кандидатите по обособена позиция 2.</w:t>
      </w:r>
    </w:p>
    <w:p w:rsidR="00350E48" w:rsidRPr="00284C1B" w:rsidRDefault="00284C1B" w:rsidP="00A4148F">
      <w:pPr>
        <w:shd w:val="clear" w:color="auto" w:fill="FFFFFF"/>
        <w:spacing w:line="240" w:lineRule="auto"/>
        <w:ind w:left="28" w:right="6"/>
        <w:jc w:val="both"/>
        <w:rPr>
          <w:rFonts w:ascii="Arial Narrow" w:hAnsi="Arial Narrow"/>
          <w:sz w:val="24"/>
          <w:szCs w:val="24"/>
          <w:lang w:val="bg-BG"/>
        </w:rPr>
      </w:pPr>
      <w:r>
        <w:rPr>
          <w:rFonts w:ascii="Arial Narrow" w:hAnsi="Arial Narrow"/>
          <w:sz w:val="24"/>
          <w:szCs w:val="24"/>
          <w:lang w:val="bg-BG"/>
        </w:rPr>
        <w:t>За допълнителна информация всяко заинтересовано лице може да се обръща към г-жа Камелия Софрониева – тел. +359 2 9420 365</w:t>
      </w:r>
      <w:r w:rsidR="00D84FB3">
        <w:rPr>
          <w:rFonts w:ascii="Arial Narrow" w:hAnsi="Arial Narrow"/>
          <w:sz w:val="24"/>
          <w:szCs w:val="24"/>
          <w:lang w:val="bg-BG"/>
        </w:rPr>
        <w:t xml:space="preserve">, </w:t>
      </w:r>
      <w:r w:rsidR="00D84FB3">
        <w:rPr>
          <w:rFonts w:ascii="Arial Narrow" w:hAnsi="Arial Narrow"/>
          <w:sz w:val="24"/>
          <w:szCs w:val="24"/>
        </w:rPr>
        <w:t xml:space="preserve">e-mail: </w:t>
      </w:r>
      <w:hyperlink r:id="rId8" w:history="1">
        <w:r w:rsidR="00D84FB3" w:rsidRPr="009104BA">
          <w:rPr>
            <w:rStyle w:val="Hyperlink"/>
            <w:rFonts w:ascii="Arial Narrow" w:hAnsi="Arial Narrow"/>
            <w:sz w:val="24"/>
            <w:szCs w:val="24"/>
          </w:rPr>
          <w:t>k.sofronieva@is-bg.net</w:t>
        </w:r>
      </w:hyperlink>
      <w:r>
        <w:rPr>
          <w:rFonts w:ascii="Arial Narrow" w:hAnsi="Arial Narrow"/>
          <w:sz w:val="24"/>
          <w:szCs w:val="24"/>
          <w:lang w:val="bg-BG"/>
        </w:rPr>
        <w:t>.</w:t>
      </w: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Default="00350E48" w:rsidP="00A4148F">
      <w:pPr>
        <w:shd w:val="clear" w:color="auto" w:fill="FFFFFF"/>
        <w:spacing w:line="240" w:lineRule="auto"/>
        <w:ind w:left="28" w:right="6"/>
        <w:jc w:val="both"/>
        <w:rPr>
          <w:rFonts w:ascii="Arial Narrow" w:hAnsi="Arial Narrow"/>
          <w:sz w:val="24"/>
          <w:szCs w:val="24"/>
          <w:lang w:val="bg-BG"/>
        </w:rPr>
      </w:pPr>
    </w:p>
    <w:p w:rsidR="00350E48" w:rsidRPr="00D51D60" w:rsidRDefault="00350E48" w:rsidP="00350E48">
      <w:pPr>
        <w:shd w:val="clear" w:color="auto" w:fill="FFFFFF"/>
        <w:ind w:left="6372"/>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lastRenderedPageBreak/>
        <w:t>ПРИЛОЖЕНИЕ № 3.2.</w:t>
      </w:r>
    </w:p>
    <w:p w:rsidR="00350E48" w:rsidRPr="00D51D60" w:rsidRDefault="00350E48" w:rsidP="00350E48">
      <w:pPr>
        <w:shd w:val="clear" w:color="auto" w:fill="FFFFFF"/>
        <w:ind w:left="6372" w:firstLine="708"/>
        <w:jc w:val="right"/>
        <w:outlineLvl w:val="0"/>
        <w:rPr>
          <w:rFonts w:ascii="Arial Narrow" w:hAnsi="Arial Narrow"/>
          <w:b/>
          <w:color w:val="000000"/>
          <w:sz w:val="24"/>
          <w:szCs w:val="24"/>
          <w:lang w:val="bg-BG"/>
        </w:rPr>
      </w:pPr>
      <w:r w:rsidRPr="00D51D60">
        <w:rPr>
          <w:rFonts w:ascii="Arial Narrow" w:hAnsi="Arial Narrow"/>
          <w:b/>
          <w:color w:val="000000"/>
          <w:sz w:val="24"/>
          <w:szCs w:val="24"/>
          <w:lang w:val="bg-BG"/>
        </w:rPr>
        <w:t>Образец</w:t>
      </w:r>
    </w:p>
    <w:p w:rsidR="00350E48" w:rsidRPr="00D51D60" w:rsidRDefault="00350E48" w:rsidP="00350E48">
      <w:pPr>
        <w:jc w:val="center"/>
        <w:rPr>
          <w:rFonts w:ascii="Arial Narrow" w:hAnsi="Arial Narrow"/>
          <w:b/>
          <w:bCs/>
          <w:sz w:val="24"/>
          <w:szCs w:val="24"/>
          <w:lang w:val="bg-BG"/>
        </w:rPr>
      </w:pPr>
      <w:r w:rsidRPr="00D51D60">
        <w:rPr>
          <w:rFonts w:ascii="Arial Narrow" w:hAnsi="Arial Narrow"/>
          <w:b/>
          <w:bCs/>
          <w:sz w:val="24"/>
          <w:szCs w:val="24"/>
          <w:lang w:val="bg-BG"/>
        </w:rPr>
        <w:t>ЦЕНОВО ПРЕДЛОЖЕНИЕ</w:t>
      </w:r>
    </w:p>
    <w:p w:rsidR="00350E48" w:rsidRPr="00D51D60" w:rsidRDefault="00350E48" w:rsidP="00350E48">
      <w:pPr>
        <w:ind w:firstLine="708"/>
        <w:jc w:val="both"/>
        <w:rPr>
          <w:rFonts w:ascii="Arial Narrow" w:hAnsi="Arial Narrow"/>
          <w:b/>
          <w:bCs/>
          <w:sz w:val="24"/>
          <w:szCs w:val="24"/>
          <w:lang w:val="bg-BG"/>
        </w:rPr>
      </w:pPr>
      <w:r w:rsidRPr="00D51D60">
        <w:rPr>
          <w:rFonts w:ascii="Arial Narrow" w:hAnsi="Arial Narrow"/>
          <w:b/>
          <w:bCs/>
          <w:sz w:val="24"/>
          <w:szCs w:val="24"/>
          <w:lang w:val="bg-BG"/>
        </w:rPr>
        <w:t xml:space="preserve">Уважаеми Господа, </w:t>
      </w:r>
    </w:p>
    <w:p w:rsidR="00350E48" w:rsidRPr="00D51D60" w:rsidRDefault="00350E48" w:rsidP="00350E48">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pacing w:val="10"/>
          <w:sz w:val="24"/>
          <w:szCs w:val="24"/>
          <w:lang w:val="bg-BG"/>
        </w:rPr>
        <w:t xml:space="preserve">Във  връзка с поканата за участие в конкурсна процедура </w:t>
      </w:r>
      <w:r w:rsidRPr="00D51D60">
        <w:rPr>
          <w:rFonts w:ascii="Arial Narrow" w:hAnsi="Arial Narrow"/>
          <w:color w:val="000000"/>
          <w:sz w:val="24"/>
          <w:szCs w:val="24"/>
          <w:lang w:val="bg-BG"/>
        </w:rPr>
        <w:t xml:space="preserve">с </w:t>
      </w:r>
      <w:r w:rsidRPr="00D51D60">
        <w:rPr>
          <w:rFonts w:ascii="Arial Narrow" w:hAnsi="Arial Narrow"/>
          <w:b/>
          <w:i/>
          <w:color w:val="000000"/>
          <w:sz w:val="24"/>
          <w:szCs w:val="24"/>
          <w:lang w:val="bg-BG"/>
        </w:rPr>
        <w:t>предмет</w:t>
      </w: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w:t>
      </w:r>
    </w:p>
    <w:p w:rsidR="00350E48" w:rsidRPr="00D51D60" w:rsidRDefault="00350E48" w:rsidP="00350E48">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rsidR="00350E48" w:rsidRPr="00D51D60" w:rsidRDefault="00350E48" w:rsidP="00350E48">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Обособена позиция 2: Откриване и обслужване на разплащателни сметки; касови операции и инкасо услуги</w:t>
      </w:r>
    </w:p>
    <w:p w:rsidR="00350E48" w:rsidRPr="00D51D60" w:rsidRDefault="00350E48" w:rsidP="00350E48">
      <w:pPr>
        <w:pStyle w:val="BodyText"/>
        <w:spacing w:after="0"/>
        <w:jc w:val="both"/>
        <w:rPr>
          <w:rFonts w:ascii="Arial Narrow" w:hAnsi="Arial Narrow"/>
          <w:szCs w:val="24"/>
          <w:lang w:val="bg-BG"/>
        </w:rPr>
      </w:pPr>
    </w:p>
    <w:p w:rsidR="00350E48" w:rsidRPr="00D51D60" w:rsidRDefault="00350E48" w:rsidP="00350E48">
      <w:pPr>
        <w:pStyle w:val="BodyText"/>
        <w:spacing w:after="0"/>
        <w:rPr>
          <w:rFonts w:ascii="Arial Narrow" w:hAnsi="Arial Narrow"/>
          <w:szCs w:val="24"/>
          <w:lang w:val="bg-BG"/>
        </w:rPr>
      </w:pPr>
      <w:r w:rsidRPr="00D51D60">
        <w:rPr>
          <w:rFonts w:ascii="Arial Narrow" w:hAnsi="Arial Narrow"/>
          <w:szCs w:val="24"/>
          <w:lang w:val="bg-BG"/>
        </w:rPr>
        <w:t xml:space="preserve">с Възложител “Информационно обслужване” АД, подписаният(те), представляващ(и) </w:t>
      </w:r>
    </w:p>
    <w:p w:rsidR="00350E48" w:rsidRPr="00D51D60" w:rsidRDefault="00350E48" w:rsidP="00350E48">
      <w:pPr>
        <w:pStyle w:val="BodyText"/>
        <w:spacing w:after="0"/>
        <w:rPr>
          <w:rFonts w:ascii="Arial Narrow" w:hAnsi="Arial Narrow"/>
          <w:szCs w:val="24"/>
          <w:lang w:val="bg-BG"/>
        </w:rPr>
      </w:pPr>
    </w:p>
    <w:p w:rsidR="00350E48" w:rsidRPr="00D51D60" w:rsidRDefault="00350E48" w:rsidP="00350E48">
      <w:pPr>
        <w:pStyle w:val="BodyText"/>
        <w:spacing w:after="0"/>
        <w:rPr>
          <w:rFonts w:ascii="Arial Narrow" w:hAnsi="Arial Narrow"/>
          <w:szCs w:val="24"/>
          <w:lang w:val="bg-BG"/>
        </w:rPr>
      </w:pPr>
      <w:r w:rsidRPr="00D51D60">
        <w:rPr>
          <w:rFonts w:ascii="Arial Narrow" w:hAnsi="Arial Narrow"/>
          <w:szCs w:val="24"/>
          <w:lang w:val="bg-BG"/>
        </w:rPr>
        <w:t xml:space="preserve">.......................................................................................... (кредитната институция на кандидата), </w:t>
      </w:r>
    </w:p>
    <w:p w:rsidR="00350E48" w:rsidRPr="00D51D60" w:rsidRDefault="00350E48" w:rsidP="00350E48">
      <w:pPr>
        <w:pStyle w:val="BodyText"/>
        <w:spacing w:after="0"/>
        <w:rPr>
          <w:rFonts w:ascii="Arial Narrow" w:hAnsi="Arial Narrow"/>
          <w:szCs w:val="24"/>
          <w:lang w:val="bg-BG"/>
        </w:rPr>
      </w:pPr>
      <w:r w:rsidRPr="00D51D60">
        <w:rPr>
          <w:rFonts w:ascii="Arial Narrow" w:hAnsi="Arial Narrow"/>
          <w:szCs w:val="24"/>
          <w:lang w:val="bg-BG"/>
        </w:rPr>
        <w:t>заявявам(е) следното: </w:t>
      </w:r>
    </w:p>
    <w:p w:rsidR="00350E48" w:rsidRPr="00D51D60" w:rsidRDefault="00350E48" w:rsidP="00350E48">
      <w:pPr>
        <w:pStyle w:val="BodyText"/>
        <w:spacing w:after="0"/>
        <w:rPr>
          <w:rFonts w:ascii="Arial Narrow" w:hAnsi="Arial Narrow"/>
          <w:szCs w:val="24"/>
          <w:lang w:val="bg-BG"/>
        </w:rPr>
      </w:pPr>
    </w:p>
    <w:p w:rsidR="00350E48" w:rsidRDefault="00350E48" w:rsidP="00350E48">
      <w:pPr>
        <w:pStyle w:val="Caption"/>
        <w:rPr>
          <w:rFonts w:ascii="Arial Narrow" w:hAnsi="Arial Narrow"/>
          <w:b w:val="0"/>
          <w:sz w:val="24"/>
          <w:szCs w:val="24"/>
          <w:lang w:val="bg-BG"/>
        </w:rPr>
      </w:pPr>
      <w:r w:rsidRPr="00D51D60">
        <w:rPr>
          <w:rFonts w:ascii="Arial Narrow" w:hAnsi="Arial Narrow"/>
          <w:b w:val="0"/>
          <w:sz w:val="24"/>
          <w:szCs w:val="24"/>
          <w:lang w:val="bg-BG"/>
        </w:rPr>
        <w:t>Даваме стойнос</w:t>
      </w:r>
      <w:r>
        <w:rPr>
          <w:rFonts w:ascii="Arial Narrow" w:hAnsi="Arial Narrow"/>
          <w:b w:val="0"/>
          <w:sz w:val="24"/>
          <w:szCs w:val="24"/>
          <w:lang w:val="bg-BG"/>
        </w:rPr>
        <w:t>ти на количествените показатели</w:t>
      </w:r>
      <w:r w:rsidRPr="00D51D60">
        <w:rPr>
          <w:rFonts w:ascii="Arial Narrow" w:hAnsi="Arial Narrow"/>
          <w:b w:val="0"/>
          <w:sz w:val="24"/>
          <w:szCs w:val="24"/>
          <w:lang w:val="bg-BG"/>
        </w:rPr>
        <w:t>, както следва:</w:t>
      </w:r>
    </w:p>
    <w:tbl>
      <w:tblPr>
        <w:tblW w:w="9918" w:type="dxa"/>
        <w:tblLook w:val="04A0" w:firstRow="1" w:lastRow="0" w:firstColumn="1" w:lastColumn="0" w:noHBand="0" w:noVBand="1"/>
      </w:tblPr>
      <w:tblGrid>
        <w:gridCol w:w="1000"/>
        <w:gridCol w:w="6225"/>
        <w:gridCol w:w="1134"/>
        <w:gridCol w:w="1559"/>
      </w:tblGrid>
      <w:tr w:rsidR="00350E48" w:rsidRPr="008874DE" w:rsidTr="00010426">
        <w:trPr>
          <w:trHeight w:val="945"/>
        </w:trPr>
        <w:tc>
          <w:tcPr>
            <w:tcW w:w="1000" w:type="dxa"/>
            <w:tcBorders>
              <w:top w:val="single" w:sz="4" w:space="0" w:color="auto"/>
              <w:left w:val="single" w:sz="4" w:space="0" w:color="auto"/>
              <w:bottom w:val="single" w:sz="4" w:space="0" w:color="auto"/>
              <w:right w:val="single" w:sz="4" w:space="0" w:color="auto"/>
            </w:tcBorders>
            <w:shd w:val="clear" w:color="000000" w:fill="D9D9D9"/>
            <w:noWrap/>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2.</w:t>
            </w:r>
          </w:p>
        </w:tc>
        <w:tc>
          <w:tcPr>
            <w:tcW w:w="6225" w:type="dxa"/>
            <w:tcBorders>
              <w:top w:val="single" w:sz="4" w:space="0" w:color="auto"/>
              <w:left w:val="nil"/>
              <w:bottom w:val="single" w:sz="4" w:space="0" w:color="auto"/>
              <w:right w:val="single" w:sz="4" w:space="0" w:color="auto"/>
            </w:tcBorders>
            <w:shd w:val="clear" w:color="000000" w:fill="D9D9D9"/>
            <w:hideMark/>
          </w:tcPr>
          <w:p w:rsidR="00284C1B"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ПЛАТЕЖНИ И СВЪРЗАНИ УСЛУГИ</w:t>
            </w:r>
          </w:p>
          <w:p w:rsidR="00350E48" w:rsidRPr="00284C1B" w:rsidRDefault="00284C1B" w:rsidP="00284C1B">
            <w:pPr>
              <w:tabs>
                <w:tab w:val="left" w:pos="2265"/>
              </w:tabs>
              <w:rPr>
                <w:rFonts w:ascii="Arial Narrow" w:eastAsia="Times New Roman" w:hAnsi="Arial Narrow" w:cs="Arial"/>
                <w:sz w:val="24"/>
                <w:szCs w:val="24"/>
              </w:rPr>
            </w:pPr>
            <w:r>
              <w:rPr>
                <w:rFonts w:ascii="Arial Narrow" w:eastAsia="Times New Roman" w:hAnsi="Arial Narrow" w:cs="Arial"/>
                <w:sz w:val="24"/>
                <w:szCs w:val="24"/>
              </w:rPr>
              <w:tab/>
            </w:r>
          </w:p>
        </w:tc>
        <w:tc>
          <w:tcPr>
            <w:tcW w:w="1134" w:type="dxa"/>
            <w:tcBorders>
              <w:top w:val="single" w:sz="4" w:space="0" w:color="auto"/>
              <w:left w:val="nil"/>
              <w:bottom w:val="single" w:sz="4" w:space="0" w:color="auto"/>
              <w:right w:val="single" w:sz="4" w:space="0" w:color="auto"/>
            </w:tcBorders>
            <w:shd w:val="clear" w:color="000000" w:fill="D9D9D9"/>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xml:space="preserve">Мярка </w:t>
            </w:r>
            <w:r w:rsidRPr="008874DE">
              <w:rPr>
                <w:rFonts w:ascii="Arial Narrow" w:eastAsia="Times New Roman" w:hAnsi="Arial Narrow" w:cs="Arial"/>
                <w:b/>
                <w:bCs/>
                <w:sz w:val="24"/>
                <w:szCs w:val="24"/>
              </w:rPr>
              <w:br/>
              <w:t>лева или %</w:t>
            </w:r>
          </w:p>
        </w:tc>
        <w:tc>
          <w:tcPr>
            <w:tcW w:w="1559" w:type="dxa"/>
            <w:tcBorders>
              <w:top w:val="single" w:sz="4" w:space="0" w:color="auto"/>
              <w:left w:val="nil"/>
              <w:bottom w:val="single" w:sz="4" w:space="0" w:color="auto"/>
              <w:right w:val="single" w:sz="4" w:space="0" w:color="auto"/>
            </w:tcBorders>
            <w:shd w:val="clear" w:color="000000" w:fill="D9D9D9"/>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Стойност</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2.1.</w:t>
            </w:r>
          </w:p>
        </w:tc>
        <w:tc>
          <w:tcPr>
            <w:tcW w:w="6225"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Разплащателни сметки, в т.ч.:</w:t>
            </w:r>
          </w:p>
        </w:tc>
        <w:tc>
          <w:tcPr>
            <w:tcW w:w="1134"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2.1.1.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Такса за откриване на сметка</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2.1.2.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Месечни такси за обслужване на сметка</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2.1.2.1.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Такса за месечно обслужване</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702"/>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2.1.3.</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Годишна лихва по стандартна разплащателна сметка в национална валута</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000000" w:fill="C5D9F1"/>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w:t>
            </w:r>
          </w:p>
        </w:tc>
        <w:tc>
          <w:tcPr>
            <w:tcW w:w="6225"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Касови операции, в т.ч.:</w:t>
            </w:r>
          </w:p>
        </w:tc>
        <w:tc>
          <w:tcPr>
            <w:tcW w:w="1134"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409"/>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Теглене в брой от разплащателни сметки, в т.ч.</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913"/>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2.2.1.1.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Комисионната за теглене в брой на суми на стойност под 10 000 лв. над дневния лимит на банката с предварителна заявка за теглене</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777"/>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2.2.1.2.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Максимална стойност на комисионната с предварителна заявка за теглене на суми на стойност под 10 000 лв.</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79"/>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2.2.2.</w:t>
            </w:r>
          </w:p>
        </w:tc>
        <w:tc>
          <w:tcPr>
            <w:tcW w:w="6225"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Внасяне в брой по разплащателни сметки, в т.ч.:</w:t>
            </w:r>
          </w:p>
        </w:tc>
        <w:tc>
          <w:tcPr>
            <w:tcW w:w="1134"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2.2.2.1.</w:t>
            </w:r>
          </w:p>
        </w:tc>
        <w:tc>
          <w:tcPr>
            <w:tcW w:w="6225"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Комисионна за внасяне на суми в брой</w:t>
            </w:r>
          </w:p>
        </w:tc>
        <w:tc>
          <w:tcPr>
            <w:tcW w:w="1134"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w:t>
            </w:r>
          </w:p>
        </w:tc>
        <w:tc>
          <w:tcPr>
            <w:tcW w:w="1559"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630"/>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2.2.2.2.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Максимална стойност на комисионната за внасяне на суми в брой</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728"/>
        </w:trPr>
        <w:tc>
          <w:tcPr>
            <w:tcW w:w="1000" w:type="dxa"/>
            <w:tcBorders>
              <w:top w:val="single" w:sz="4" w:space="0" w:color="auto"/>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lastRenderedPageBreak/>
              <w:t>2.2.3.</w:t>
            </w:r>
          </w:p>
        </w:tc>
        <w:tc>
          <w:tcPr>
            <w:tcW w:w="6225"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D80F7D">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Такса за инкасиране на парични средства за 1 обект за 1 посещение</w:t>
            </w:r>
          </w:p>
        </w:tc>
        <w:tc>
          <w:tcPr>
            <w:tcW w:w="1134"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single" w:sz="4" w:space="0" w:color="auto"/>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630"/>
        </w:trPr>
        <w:tc>
          <w:tcPr>
            <w:tcW w:w="1000" w:type="dxa"/>
            <w:tcBorders>
              <w:top w:val="nil"/>
              <w:left w:val="single" w:sz="4" w:space="0" w:color="auto"/>
              <w:bottom w:val="single" w:sz="4" w:space="0" w:color="auto"/>
              <w:right w:val="single" w:sz="4" w:space="0" w:color="auto"/>
            </w:tcBorders>
            <w:shd w:val="clear" w:color="000000" w:fill="C5D9F1"/>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w:t>
            </w:r>
          </w:p>
        </w:tc>
        <w:tc>
          <w:tcPr>
            <w:tcW w:w="6225"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Преводи към други банки, бюджета и в мрежата на банката, в т.ч.:</w:t>
            </w:r>
          </w:p>
        </w:tc>
        <w:tc>
          <w:tcPr>
            <w:tcW w:w="1134"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nil"/>
              <w:left w:val="nil"/>
              <w:bottom w:val="single" w:sz="4" w:space="0" w:color="auto"/>
              <w:right w:val="single" w:sz="4" w:space="0" w:color="auto"/>
            </w:tcBorders>
            <w:shd w:val="clear" w:color="000000" w:fill="C5D9F1"/>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Наредени чрез БИСЕРА</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b/>
                <w:bCs/>
                <w:sz w:val="24"/>
                <w:szCs w:val="24"/>
              </w:rPr>
            </w:pPr>
            <w:r w:rsidRPr="008874DE">
              <w:rPr>
                <w:rFonts w:ascii="Arial Narrow" w:eastAsia="Times New Roman" w:hAnsi="Arial Narrow" w:cs="Arial"/>
                <w:b/>
                <w:bCs/>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2.3.1.1.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на хартиен носител</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2.3.1.2.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по електронен път</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Наредени чрез РИНГС</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2.3.2.1.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на хартиен носител</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2.3.2.2.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по електронен път</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2.3.4.</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sz w:val="24"/>
                <w:szCs w:val="24"/>
              </w:rPr>
            </w:pPr>
            <w:r w:rsidRPr="008874DE">
              <w:rPr>
                <w:rFonts w:ascii="Arial Narrow" w:eastAsia="Times New Roman" w:hAnsi="Arial Narrow" w:cs="Arial"/>
                <w:b/>
                <w:bCs/>
                <w:sz w:val="24"/>
                <w:szCs w:val="24"/>
              </w:rPr>
              <w:t>Преводи в мрежата на банката</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2.3.4.1.</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на хартиен носител</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r w:rsidR="00350E48" w:rsidRPr="008874DE" w:rsidTr="00010426">
        <w:trPr>
          <w:trHeight w:val="315"/>
        </w:trPr>
        <w:tc>
          <w:tcPr>
            <w:tcW w:w="100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2.3.4.2.</w:t>
            </w:r>
          </w:p>
        </w:tc>
        <w:tc>
          <w:tcPr>
            <w:tcW w:w="6225"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sz w:val="24"/>
                <w:szCs w:val="24"/>
              </w:rPr>
            </w:pPr>
            <w:r w:rsidRPr="008874DE">
              <w:rPr>
                <w:rFonts w:ascii="Arial Narrow" w:eastAsia="Times New Roman" w:hAnsi="Arial Narrow" w:cs="Arial"/>
                <w:sz w:val="24"/>
                <w:szCs w:val="24"/>
              </w:rPr>
              <w:t>чрез платежно по електронен път</w:t>
            </w:r>
          </w:p>
        </w:tc>
        <w:tc>
          <w:tcPr>
            <w:tcW w:w="1134"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лева</w:t>
            </w:r>
          </w:p>
        </w:tc>
        <w:tc>
          <w:tcPr>
            <w:tcW w:w="1559"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jc w:val="center"/>
              <w:rPr>
                <w:rFonts w:ascii="Arial Narrow" w:eastAsia="Times New Roman" w:hAnsi="Arial Narrow" w:cs="Arial"/>
                <w:sz w:val="24"/>
                <w:szCs w:val="24"/>
              </w:rPr>
            </w:pPr>
            <w:r w:rsidRPr="008874DE">
              <w:rPr>
                <w:rFonts w:ascii="Arial Narrow" w:eastAsia="Times New Roman" w:hAnsi="Arial Narrow" w:cs="Arial"/>
                <w:sz w:val="24"/>
                <w:szCs w:val="24"/>
              </w:rPr>
              <w:t> </w:t>
            </w:r>
          </w:p>
        </w:tc>
      </w:tr>
    </w:tbl>
    <w:p w:rsidR="00350E48" w:rsidRPr="00D51D60" w:rsidRDefault="00350E48" w:rsidP="00350E48">
      <w:pPr>
        <w:spacing w:before="200"/>
        <w:ind w:left="-142"/>
        <w:jc w:val="both"/>
        <w:rPr>
          <w:rFonts w:ascii="Arial Narrow" w:hAnsi="Arial Narrow"/>
          <w:sz w:val="24"/>
          <w:szCs w:val="24"/>
          <w:lang w:val="bg-BG"/>
        </w:rPr>
      </w:pPr>
      <w:r w:rsidRPr="00D51D60">
        <w:rPr>
          <w:rFonts w:ascii="Arial Narrow" w:hAnsi="Arial Narrow"/>
          <w:sz w:val="24"/>
          <w:szCs w:val="24"/>
          <w:lang w:val="bg-BG"/>
        </w:rPr>
        <w:t>Потвърждавам/е  изпълнението/неизпълнението на следните изисквания с „ДА“ или „НЕ“:</w:t>
      </w:r>
    </w:p>
    <w:tbl>
      <w:tblPr>
        <w:tblW w:w="9918" w:type="dxa"/>
        <w:tblLook w:val="04A0" w:firstRow="1" w:lastRow="0" w:firstColumn="1" w:lastColumn="0" w:noHBand="0" w:noVBand="1"/>
      </w:tblPr>
      <w:tblGrid>
        <w:gridCol w:w="740"/>
        <w:gridCol w:w="6343"/>
        <w:gridCol w:w="1417"/>
        <w:gridCol w:w="1418"/>
      </w:tblGrid>
      <w:tr w:rsidR="00350E48" w:rsidRPr="008874DE" w:rsidTr="00350E48">
        <w:trPr>
          <w:trHeight w:val="1043"/>
        </w:trPr>
        <w:tc>
          <w:tcPr>
            <w:tcW w:w="740" w:type="dxa"/>
            <w:tcBorders>
              <w:top w:val="single" w:sz="4" w:space="0" w:color="auto"/>
              <w:left w:val="single" w:sz="4" w:space="0" w:color="auto"/>
              <w:bottom w:val="single" w:sz="4" w:space="0" w:color="auto"/>
              <w:right w:val="single" w:sz="4" w:space="0" w:color="auto"/>
            </w:tcBorders>
            <w:shd w:val="clear" w:color="000000" w:fill="ACBBDE"/>
            <w:hideMark/>
          </w:tcPr>
          <w:p w:rsidR="00350E48" w:rsidRPr="008874DE" w:rsidRDefault="00350E48" w:rsidP="00010426">
            <w:pPr>
              <w:spacing w:after="0" w:line="240" w:lineRule="auto"/>
              <w:jc w:val="center"/>
              <w:rPr>
                <w:rFonts w:ascii="Arial Narrow" w:eastAsia="Times New Roman" w:hAnsi="Arial Narrow" w:cs="Tahoma"/>
                <w:b/>
                <w:bCs/>
              </w:rPr>
            </w:pPr>
            <w:r w:rsidRPr="008874DE">
              <w:rPr>
                <w:rFonts w:ascii="Arial Narrow" w:eastAsia="Times New Roman" w:hAnsi="Arial Narrow" w:cs="Tahoma"/>
                <w:b/>
                <w:bCs/>
              </w:rPr>
              <w:t>№</w:t>
            </w:r>
          </w:p>
        </w:tc>
        <w:tc>
          <w:tcPr>
            <w:tcW w:w="6343" w:type="dxa"/>
            <w:tcBorders>
              <w:top w:val="single" w:sz="4" w:space="0" w:color="auto"/>
              <w:left w:val="nil"/>
              <w:bottom w:val="single" w:sz="4" w:space="0" w:color="auto"/>
              <w:right w:val="single" w:sz="4" w:space="0" w:color="auto"/>
            </w:tcBorders>
            <w:shd w:val="clear" w:color="000000" w:fill="ACBBDE"/>
            <w:hideMark/>
          </w:tcPr>
          <w:p w:rsidR="00790F02" w:rsidRDefault="00350E48" w:rsidP="00010426">
            <w:pPr>
              <w:spacing w:after="0" w:line="240" w:lineRule="auto"/>
              <w:jc w:val="center"/>
              <w:rPr>
                <w:rFonts w:ascii="Arial Narrow" w:eastAsia="Times New Roman" w:hAnsi="Arial Narrow" w:cs="Tahoma"/>
                <w:b/>
                <w:bCs/>
              </w:rPr>
            </w:pPr>
            <w:r w:rsidRPr="008874DE">
              <w:rPr>
                <w:rFonts w:ascii="Arial Narrow" w:eastAsia="Times New Roman" w:hAnsi="Arial Narrow" w:cs="Tahoma"/>
                <w:b/>
                <w:bCs/>
              </w:rPr>
              <w:t>Изисквания</w:t>
            </w:r>
          </w:p>
          <w:p w:rsidR="00350E48" w:rsidRPr="00790F02" w:rsidRDefault="00350E48" w:rsidP="00790F02">
            <w:pPr>
              <w:jc w:val="center"/>
              <w:rPr>
                <w:rFonts w:ascii="Arial Narrow" w:eastAsia="Times New Roman" w:hAnsi="Arial Narrow" w:cs="Tahoma"/>
              </w:rPr>
            </w:pPr>
          </w:p>
        </w:tc>
        <w:tc>
          <w:tcPr>
            <w:tcW w:w="1417" w:type="dxa"/>
            <w:tcBorders>
              <w:top w:val="single" w:sz="4" w:space="0" w:color="auto"/>
              <w:left w:val="nil"/>
              <w:bottom w:val="single" w:sz="4" w:space="0" w:color="auto"/>
              <w:right w:val="single" w:sz="4" w:space="0" w:color="auto"/>
            </w:tcBorders>
            <w:shd w:val="clear" w:color="000000" w:fill="ACBBDE"/>
            <w:hideMark/>
          </w:tcPr>
          <w:p w:rsidR="00350E48" w:rsidRPr="008874DE" w:rsidRDefault="00350E48" w:rsidP="00010426">
            <w:pPr>
              <w:spacing w:after="0" w:line="240" w:lineRule="auto"/>
              <w:jc w:val="center"/>
              <w:rPr>
                <w:rFonts w:ascii="Arial Narrow" w:eastAsia="Times New Roman" w:hAnsi="Arial Narrow" w:cs="Tahoma"/>
                <w:b/>
                <w:bCs/>
              </w:rPr>
            </w:pPr>
            <w:r w:rsidRPr="008874DE">
              <w:rPr>
                <w:rFonts w:ascii="Arial Narrow" w:eastAsia="Times New Roman" w:hAnsi="Arial Narrow" w:cs="Tahoma"/>
                <w:b/>
                <w:bCs/>
              </w:rPr>
              <w:t>Условие</w:t>
            </w:r>
          </w:p>
        </w:tc>
        <w:tc>
          <w:tcPr>
            <w:tcW w:w="1418" w:type="dxa"/>
            <w:tcBorders>
              <w:top w:val="single" w:sz="4" w:space="0" w:color="auto"/>
              <w:left w:val="nil"/>
              <w:bottom w:val="single" w:sz="4" w:space="0" w:color="auto"/>
              <w:right w:val="single" w:sz="4" w:space="0" w:color="auto"/>
            </w:tcBorders>
            <w:shd w:val="clear" w:color="000000" w:fill="ACBBDE"/>
            <w:hideMark/>
          </w:tcPr>
          <w:p w:rsidR="00350E48" w:rsidRPr="008874DE" w:rsidRDefault="00350E48" w:rsidP="00010426">
            <w:pPr>
              <w:spacing w:after="0" w:line="240" w:lineRule="auto"/>
              <w:jc w:val="center"/>
              <w:rPr>
                <w:rFonts w:ascii="Arial Narrow" w:eastAsia="Times New Roman" w:hAnsi="Arial Narrow" w:cs="Tahoma"/>
                <w:b/>
                <w:bCs/>
              </w:rPr>
            </w:pPr>
            <w:r w:rsidRPr="008874DE">
              <w:rPr>
                <w:rFonts w:ascii="Arial Narrow" w:eastAsia="Times New Roman" w:hAnsi="Arial Narrow" w:cs="Tahoma"/>
                <w:b/>
                <w:bCs/>
              </w:rPr>
              <w:t>ДА/ НЕ</w:t>
            </w:r>
          </w:p>
        </w:tc>
      </w:tr>
      <w:tr w:rsidR="00350E48" w:rsidRPr="008874DE" w:rsidTr="00350E48">
        <w:trPr>
          <w:trHeight w:val="1020"/>
        </w:trPr>
        <w:tc>
          <w:tcPr>
            <w:tcW w:w="740" w:type="dxa"/>
            <w:tcBorders>
              <w:top w:val="nil"/>
              <w:left w:val="single" w:sz="4" w:space="0" w:color="auto"/>
              <w:bottom w:val="single" w:sz="4" w:space="0" w:color="auto"/>
              <w:right w:val="single" w:sz="4" w:space="0" w:color="auto"/>
            </w:tcBorders>
            <w:shd w:val="clear" w:color="000000" w:fill="EAEAEA"/>
            <w:noWrap/>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1.</w:t>
            </w:r>
          </w:p>
        </w:tc>
        <w:tc>
          <w:tcPr>
            <w:tcW w:w="6343"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Обслужване за служителите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xml:space="preserve"> Отбележете един от горните отговори </w:t>
            </w:r>
          </w:p>
        </w:tc>
      </w:tr>
      <w:tr w:rsidR="00350E48" w:rsidRPr="008874DE" w:rsidTr="00350E48">
        <w:trPr>
          <w:trHeight w:val="533"/>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1.1.</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Масов превод за изплащане на заплатите на служителите по сметка в обслужващата банка</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270"/>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1.2.</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Издаване на основна дебитна карта към разплащателна сметка</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312"/>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1.3.</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Откриване на разплащателна сметка в лева</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312"/>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1.4.</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Неснижаем минимален остатък по сметка</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до 2 лева</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510"/>
        </w:trPr>
        <w:tc>
          <w:tcPr>
            <w:tcW w:w="740" w:type="dxa"/>
            <w:tcBorders>
              <w:top w:val="nil"/>
              <w:left w:val="single" w:sz="4" w:space="0" w:color="auto"/>
              <w:bottom w:val="single" w:sz="4" w:space="0" w:color="auto"/>
              <w:right w:val="single" w:sz="4" w:space="0" w:color="auto"/>
            </w:tcBorders>
            <w:shd w:val="clear" w:color="000000" w:fill="FFFFFF"/>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1.5.</w:t>
            </w:r>
          </w:p>
        </w:tc>
        <w:tc>
          <w:tcPr>
            <w:tcW w:w="6343" w:type="dxa"/>
            <w:tcBorders>
              <w:top w:val="nil"/>
              <w:left w:val="nil"/>
              <w:bottom w:val="single" w:sz="4" w:space="0" w:color="auto"/>
              <w:right w:val="single" w:sz="4" w:space="0" w:color="auto"/>
            </w:tcBorders>
            <w:shd w:val="clear" w:color="000000" w:fill="FFFFFF"/>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Наличие на допълнителни услуги: интернет банкиране, мобилно банкиране, преференциални такси и др.</w:t>
            </w:r>
          </w:p>
        </w:tc>
        <w:tc>
          <w:tcPr>
            <w:tcW w:w="1417" w:type="dxa"/>
            <w:tcBorders>
              <w:top w:val="nil"/>
              <w:left w:val="nil"/>
              <w:bottom w:val="single" w:sz="4" w:space="0" w:color="auto"/>
              <w:right w:val="single" w:sz="4" w:space="0" w:color="auto"/>
            </w:tcBorders>
            <w:shd w:val="clear" w:color="000000" w:fill="FFFFFF"/>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Не</w:t>
            </w:r>
          </w:p>
        </w:tc>
        <w:tc>
          <w:tcPr>
            <w:tcW w:w="1418" w:type="dxa"/>
            <w:tcBorders>
              <w:top w:val="nil"/>
              <w:left w:val="nil"/>
              <w:bottom w:val="single" w:sz="4" w:space="0" w:color="auto"/>
              <w:right w:val="single" w:sz="4" w:space="0" w:color="auto"/>
            </w:tcBorders>
            <w:shd w:val="clear" w:color="000000" w:fill="FFFFFF"/>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612"/>
        </w:trPr>
        <w:tc>
          <w:tcPr>
            <w:tcW w:w="740" w:type="dxa"/>
            <w:tcBorders>
              <w:top w:val="nil"/>
              <w:left w:val="single" w:sz="4" w:space="0" w:color="auto"/>
              <w:bottom w:val="single" w:sz="4" w:space="0" w:color="auto"/>
              <w:right w:val="single" w:sz="4" w:space="0" w:color="auto"/>
            </w:tcBorders>
            <w:shd w:val="clear" w:color="000000" w:fill="EAEAEA"/>
            <w:noWrap/>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2.</w:t>
            </w:r>
          </w:p>
        </w:tc>
        <w:tc>
          <w:tcPr>
            <w:tcW w:w="6343"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Банково обслужване на дейността на "Информационно обслужване" АД</w:t>
            </w:r>
          </w:p>
        </w:tc>
        <w:tc>
          <w:tcPr>
            <w:tcW w:w="1417"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612"/>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2.1.</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Възможност за подвижно инкасо с автомобил на банката</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Има възможност</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281"/>
        </w:trPr>
        <w:tc>
          <w:tcPr>
            <w:tcW w:w="740" w:type="dxa"/>
            <w:tcBorders>
              <w:top w:val="nil"/>
              <w:left w:val="single" w:sz="4" w:space="0" w:color="auto"/>
              <w:bottom w:val="single" w:sz="4" w:space="0" w:color="auto"/>
              <w:right w:val="single" w:sz="4" w:space="0" w:color="auto"/>
            </w:tcBorders>
            <w:shd w:val="clear" w:color="000000" w:fill="EAEAEA"/>
            <w:noWrap/>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2.2.</w:t>
            </w:r>
          </w:p>
        </w:tc>
        <w:tc>
          <w:tcPr>
            <w:tcW w:w="6343"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Вътрешно банкови услуги и преводи</w:t>
            </w:r>
          </w:p>
        </w:tc>
        <w:tc>
          <w:tcPr>
            <w:tcW w:w="1417" w:type="dxa"/>
            <w:tcBorders>
              <w:top w:val="nil"/>
              <w:left w:val="nil"/>
              <w:bottom w:val="single" w:sz="4" w:space="0" w:color="auto"/>
              <w:right w:val="single" w:sz="4" w:space="0" w:color="auto"/>
            </w:tcBorders>
            <w:shd w:val="clear" w:color="000000" w:fill="EAEAEA"/>
            <w:hideMark/>
          </w:tcPr>
          <w:p w:rsidR="00350E48" w:rsidRPr="008874DE" w:rsidRDefault="00350E48" w:rsidP="00010426">
            <w:pPr>
              <w:spacing w:after="0" w:line="240" w:lineRule="auto"/>
              <w:rPr>
                <w:rFonts w:ascii="Arial Narrow" w:eastAsia="Times New Roman" w:hAnsi="Arial Narrow" w:cs="Arial"/>
                <w:b/>
                <w:bCs/>
              </w:rPr>
            </w:pPr>
            <w:r w:rsidRPr="008874DE">
              <w:rPr>
                <w:rFonts w:ascii="Arial Narrow" w:eastAsia="Times New Roman" w:hAnsi="Arial Narrow" w:cs="Arial"/>
                <w:b/>
                <w:bCs/>
              </w:rPr>
              <w:t> </w:t>
            </w:r>
          </w:p>
        </w:tc>
        <w:tc>
          <w:tcPr>
            <w:tcW w:w="1418" w:type="dxa"/>
            <w:tcBorders>
              <w:top w:val="nil"/>
              <w:left w:val="nil"/>
              <w:bottom w:val="single" w:sz="4" w:space="0" w:color="auto"/>
              <w:right w:val="single" w:sz="4" w:space="0" w:color="auto"/>
            </w:tcBorders>
            <w:shd w:val="clear" w:color="000000" w:fill="EAEAEA"/>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612"/>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2.2.1.</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Автоматично ежедневно събиране на средствата по сметки за целите на олихвяването</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r w:rsidR="00350E48" w:rsidRPr="008874DE" w:rsidTr="00350E48">
        <w:trPr>
          <w:trHeight w:val="365"/>
        </w:trPr>
        <w:tc>
          <w:tcPr>
            <w:tcW w:w="740" w:type="dxa"/>
            <w:tcBorders>
              <w:top w:val="nil"/>
              <w:left w:val="single" w:sz="4" w:space="0" w:color="auto"/>
              <w:bottom w:val="single" w:sz="4" w:space="0" w:color="auto"/>
              <w:right w:val="single" w:sz="4" w:space="0" w:color="auto"/>
            </w:tcBorders>
            <w:shd w:val="clear" w:color="auto" w:fill="auto"/>
            <w:noWrap/>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2.2.2.</w:t>
            </w:r>
          </w:p>
        </w:tc>
        <w:tc>
          <w:tcPr>
            <w:tcW w:w="6343"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 xml:space="preserve">Вътрешно банкови преводи в лева </w:t>
            </w:r>
          </w:p>
        </w:tc>
        <w:tc>
          <w:tcPr>
            <w:tcW w:w="1417" w:type="dxa"/>
            <w:tcBorders>
              <w:top w:val="nil"/>
              <w:left w:val="nil"/>
              <w:bottom w:val="single" w:sz="4" w:space="0" w:color="auto"/>
              <w:right w:val="single" w:sz="4" w:space="0" w:color="auto"/>
            </w:tcBorders>
            <w:shd w:val="clear" w:color="auto" w:fill="auto"/>
            <w:hideMark/>
          </w:tcPr>
          <w:p w:rsidR="00350E48" w:rsidRPr="008874DE" w:rsidRDefault="00350E48" w:rsidP="00010426">
            <w:pPr>
              <w:spacing w:after="0" w:line="240" w:lineRule="auto"/>
              <w:rPr>
                <w:rFonts w:ascii="Arial Narrow" w:eastAsia="Times New Roman" w:hAnsi="Arial Narrow" w:cs="Arial"/>
              </w:rPr>
            </w:pPr>
            <w:r w:rsidRPr="008874DE">
              <w:rPr>
                <w:rFonts w:ascii="Arial Narrow" w:eastAsia="Times New Roman" w:hAnsi="Arial Narrow" w:cs="Arial"/>
              </w:rPr>
              <w:t>Безплатно</w:t>
            </w:r>
          </w:p>
        </w:tc>
        <w:tc>
          <w:tcPr>
            <w:tcW w:w="1418" w:type="dxa"/>
            <w:tcBorders>
              <w:top w:val="nil"/>
              <w:left w:val="nil"/>
              <w:bottom w:val="single" w:sz="4" w:space="0" w:color="auto"/>
              <w:right w:val="single" w:sz="4" w:space="0" w:color="auto"/>
            </w:tcBorders>
            <w:shd w:val="clear" w:color="auto" w:fill="auto"/>
            <w:noWrap/>
            <w:hideMark/>
          </w:tcPr>
          <w:p w:rsidR="00350E48" w:rsidRPr="008874DE" w:rsidRDefault="00350E48" w:rsidP="00010426">
            <w:pPr>
              <w:spacing w:after="0" w:line="240" w:lineRule="auto"/>
              <w:jc w:val="right"/>
              <w:rPr>
                <w:rFonts w:ascii="Arial Narrow" w:eastAsia="Times New Roman" w:hAnsi="Arial Narrow" w:cs="Arial"/>
                <w:b/>
                <w:bCs/>
              </w:rPr>
            </w:pPr>
            <w:r w:rsidRPr="008874DE">
              <w:rPr>
                <w:rFonts w:ascii="Arial Narrow" w:eastAsia="Times New Roman" w:hAnsi="Arial Narrow" w:cs="Arial"/>
                <w:b/>
                <w:bCs/>
              </w:rPr>
              <w:t> </w:t>
            </w:r>
          </w:p>
        </w:tc>
      </w:tr>
    </w:tbl>
    <w:p w:rsidR="00350E48" w:rsidRPr="00D51D60" w:rsidRDefault="00350E48" w:rsidP="00350E48">
      <w:pPr>
        <w:pStyle w:val="BodyTextIndent3"/>
        <w:spacing w:after="0"/>
        <w:ind w:left="0"/>
        <w:jc w:val="both"/>
        <w:rPr>
          <w:rFonts w:ascii="Arial Narrow" w:hAnsi="Arial Narrow"/>
          <w:sz w:val="24"/>
          <w:szCs w:val="24"/>
          <w:lang w:val="bg-BG"/>
        </w:rPr>
      </w:pPr>
    </w:p>
    <w:p w:rsidR="00350E48" w:rsidRDefault="00350E48" w:rsidP="00350E48">
      <w:pPr>
        <w:jc w:val="both"/>
        <w:rPr>
          <w:rFonts w:ascii="Arial Narrow" w:hAnsi="Arial Narrow"/>
          <w:bCs/>
          <w:i/>
          <w:sz w:val="24"/>
          <w:szCs w:val="24"/>
          <w:lang w:val="bg-BG"/>
        </w:rPr>
      </w:pPr>
      <w:r w:rsidRPr="00D51D60">
        <w:rPr>
          <w:rFonts w:ascii="Arial Narrow" w:hAnsi="Arial Narrow"/>
          <w:bCs/>
          <w:sz w:val="24"/>
          <w:szCs w:val="24"/>
          <w:lang w:val="bg-BG"/>
        </w:rPr>
        <w:t xml:space="preserve">Срок на валидност на предложението: </w:t>
      </w:r>
      <w:r w:rsidRPr="00D51D60">
        <w:rPr>
          <w:rFonts w:ascii="Arial Narrow" w:hAnsi="Arial Narrow"/>
          <w:bCs/>
          <w:i/>
          <w:sz w:val="24"/>
          <w:szCs w:val="24"/>
          <w:lang w:val="bg-BG"/>
        </w:rPr>
        <w:t xml:space="preserve">.................................................(не по-малко от 180 календарни дни)    </w:t>
      </w:r>
      <w:r>
        <w:rPr>
          <w:rFonts w:ascii="Arial Narrow" w:hAnsi="Arial Narrow"/>
          <w:bCs/>
          <w:i/>
          <w:sz w:val="24"/>
          <w:szCs w:val="24"/>
          <w:lang w:val="bg-BG"/>
        </w:rPr>
        <w:t xml:space="preserve">                               </w:t>
      </w:r>
    </w:p>
    <w:p w:rsidR="00350E48" w:rsidRPr="001C3E1E" w:rsidRDefault="00350E48" w:rsidP="00350E48">
      <w:pPr>
        <w:jc w:val="both"/>
        <w:rPr>
          <w:rFonts w:ascii="Arial Narrow" w:hAnsi="Arial Narrow"/>
          <w:bCs/>
          <w:i/>
          <w:sz w:val="24"/>
          <w:szCs w:val="24"/>
          <w:lang w:val="bg-BG"/>
        </w:rPr>
      </w:pPr>
      <w:r w:rsidRPr="00D51D60">
        <w:rPr>
          <w:rFonts w:ascii="Arial Narrow" w:hAnsi="Arial Narrow"/>
          <w:sz w:val="24"/>
          <w:szCs w:val="24"/>
          <w:lang w:val="bg-BG"/>
        </w:rPr>
        <w:t>Дата : ................................ г.</w:t>
      </w:r>
      <w:r w:rsidRPr="00D51D60">
        <w:rPr>
          <w:rFonts w:ascii="Arial Narrow" w:hAnsi="Arial Narrow"/>
          <w:sz w:val="24"/>
          <w:szCs w:val="24"/>
          <w:lang w:val="bg-BG"/>
        </w:rPr>
        <w:tab/>
      </w:r>
      <w:r w:rsidRPr="00D51D60">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D51D60">
        <w:rPr>
          <w:rFonts w:ascii="Arial Narrow" w:hAnsi="Arial Narrow"/>
          <w:sz w:val="24"/>
          <w:szCs w:val="24"/>
          <w:lang w:val="bg-BG"/>
        </w:rPr>
        <w:tab/>
        <w:t>Подпис и печат :...............................</w:t>
      </w:r>
    </w:p>
    <w:p w:rsidR="00350E48" w:rsidRDefault="00350E48" w:rsidP="00350E48">
      <w:pPr>
        <w:ind w:left="7380"/>
        <w:jc w:val="both"/>
      </w:pPr>
      <w:r w:rsidRPr="00D51D60">
        <w:rPr>
          <w:rFonts w:ascii="Arial Narrow" w:hAnsi="Arial Narrow"/>
          <w:sz w:val="24"/>
          <w:szCs w:val="24"/>
          <w:lang w:val="bg-BG"/>
        </w:rPr>
        <w:t>(длъжност и име)</w:t>
      </w:r>
    </w:p>
    <w:p w:rsidR="00D030D9" w:rsidRPr="00D51D60" w:rsidRDefault="00D030D9" w:rsidP="00D030D9">
      <w:pPr>
        <w:spacing w:after="0" w:line="240" w:lineRule="auto"/>
        <w:ind w:left="720"/>
        <w:jc w:val="center"/>
        <w:rPr>
          <w:rStyle w:val="SubtleEmphasis"/>
          <w:rFonts w:ascii="Arial Narrow" w:hAnsi="Arial Narrow"/>
          <w:b/>
          <w:i w:val="0"/>
          <w:color w:val="auto"/>
          <w:sz w:val="24"/>
          <w:szCs w:val="24"/>
          <w:lang w:val="bg-BG"/>
        </w:rPr>
      </w:pPr>
    </w:p>
    <w:sectPr w:rsidR="00D030D9" w:rsidRPr="00D51D60" w:rsidSect="002D19CA">
      <w:footerReference w:type="default" r:id="rId9"/>
      <w:headerReference w:type="first" r:id="rId10"/>
      <w:footerReference w:type="first" r:id="rId11"/>
      <w:pgSz w:w="11906" w:h="16838" w:code="9"/>
      <w:pgMar w:top="1560" w:right="1133" w:bottom="1134" w:left="1418"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44" w:rsidRDefault="00032744" w:rsidP="00334921">
      <w:pPr>
        <w:spacing w:after="0" w:line="240" w:lineRule="auto"/>
      </w:pPr>
      <w:r>
        <w:separator/>
      </w:r>
    </w:p>
  </w:endnote>
  <w:endnote w:type="continuationSeparator" w:id="0">
    <w:p w:rsidR="00032744" w:rsidRDefault="0003274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231089"/>
      <w:docPartObj>
        <w:docPartGallery w:val="Page Numbers (Bottom of Page)"/>
        <w:docPartUnique/>
      </w:docPartObj>
    </w:sdtPr>
    <w:sdtEndPr/>
    <w:sdtContent>
      <w:p w:rsidR="0017207C" w:rsidRDefault="0017207C"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371CA764" wp14:editId="614E82D0">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F53C45"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1E7B77">
          <w:rPr>
            <w:b/>
            <w:noProof/>
            <w:sz w:val="28"/>
          </w:rPr>
          <w:t>4</w:t>
        </w:r>
        <w:r w:rsidRPr="00334921">
          <w:rPr>
            <w:b/>
            <w:sz w:val="28"/>
          </w:rPr>
          <w:fldChar w:fldCharType="end"/>
        </w:r>
      </w:p>
    </w:sdtContent>
  </w:sdt>
  <w:p w:rsidR="0017207C" w:rsidRDefault="00172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84471"/>
      <w:docPartObj>
        <w:docPartGallery w:val="Page Numbers (Bottom of Page)"/>
        <w:docPartUnique/>
      </w:docPartObj>
    </w:sdtPr>
    <w:sdtEndPr/>
    <w:sdtContent>
      <w:p w:rsidR="0017207C" w:rsidRDefault="0017207C"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8480" behindDoc="0" locked="0" layoutInCell="1" allowOverlap="1" wp14:anchorId="6D3CB0B9" wp14:editId="4C549AA6">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43382F"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1E7B77">
          <w:rPr>
            <w:b/>
            <w:noProof/>
            <w:sz w:val="28"/>
          </w:rPr>
          <w:t>1</w:t>
        </w:r>
        <w:r w:rsidRPr="00334921">
          <w:rPr>
            <w:b/>
            <w:sz w:val="28"/>
          </w:rPr>
          <w:fldChar w:fldCharType="end"/>
        </w:r>
      </w:p>
    </w:sdtContent>
  </w:sdt>
  <w:p w:rsidR="0017207C" w:rsidRDefault="0017207C" w:rsidP="00DF2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44" w:rsidRDefault="00032744" w:rsidP="00334921">
      <w:pPr>
        <w:spacing w:after="0" w:line="240" w:lineRule="auto"/>
      </w:pPr>
      <w:r>
        <w:separator/>
      </w:r>
    </w:p>
  </w:footnote>
  <w:footnote w:type="continuationSeparator" w:id="0">
    <w:p w:rsidR="00032744" w:rsidRDefault="00032744"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1836829863"/>
      <w:docPartObj>
        <w:docPartGallery w:val="Page Numbers (Top of Page)"/>
        <w:docPartUnique/>
      </w:docPartObj>
    </w:sdtPr>
    <w:sdtEndPr>
      <w:rPr>
        <w:b/>
      </w:rPr>
    </w:sdtEndPr>
    <w:sdtContent>
      <w:p w:rsidR="0017207C" w:rsidRPr="00C477D7" w:rsidRDefault="0017207C"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65408" behindDoc="0" locked="0" layoutInCell="1" allowOverlap="1" wp14:anchorId="12550806" wp14:editId="63218134">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30421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6432" behindDoc="0" locked="0" layoutInCell="1" allowOverlap="1" wp14:anchorId="17669C7B" wp14:editId="568DE66F">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rsidR="0017207C" w:rsidRPr="00C477D7" w:rsidRDefault="0017207C"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rsidR="0017207C" w:rsidRPr="00C477D7" w:rsidRDefault="0017207C"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rsidR="0017207C" w:rsidRDefault="0017207C"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rsidR="0017207C" w:rsidRDefault="00032744" w:rsidP="00DF2CAB">
        <w:pPr>
          <w:pStyle w:val="Header"/>
          <w:tabs>
            <w:tab w:val="clear" w:pos="9072"/>
            <w:tab w:val="right" w:pos="9923"/>
          </w:tabs>
          <w:ind w:left="6663" w:right="-853"/>
          <w:rPr>
            <w:b/>
            <w:color w:val="7F7F7F" w:themeColor="text1" w:themeTint="80"/>
            <w:sz w:val="16"/>
          </w:rPr>
        </w:pPr>
      </w:p>
    </w:sdtContent>
  </w:sdt>
  <w:p w:rsidR="0017207C" w:rsidRPr="00C477D7" w:rsidRDefault="0017207C"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5CF2"/>
    <w:multiLevelType w:val="hybridMultilevel"/>
    <w:tmpl w:val="49AA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361759"/>
    <w:multiLevelType w:val="hybridMultilevel"/>
    <w:tmpl w:val="F4D4F8D8"/>
    <w:lvl w:ilvl="0" w:tplc="0564289A">
      <w:start w:val="1"/>
      <w:numFmt w:val="decimal"/>
      <w:lvlText w:val="%1."/>
      <w:lvlJc w:val="left"/>
      <w:pPr>
        <w:ind w:left="1063" w:hanging="360"/>
      </w:pPr>
      <w:rPr>
        <w:rFonts w:eastAsia="Times New Roman" w:cs="Times New Roman" w:hint="default"/>
        <w:color w:val="010101"/>
      </w:rPr>
    </w:lvl>
    <w:lvl w:ilvl="1" w:tplc="04020019" w:tentative="1">
      <w:start w:val="1"/>
      <w:numFmt w:val="lowerLetter"/>
      <w:lvlText w:val="%2."/>
      <w:lvlJc w:val="left"/>
      <w:pPr>
        <w:ind w:left="1783" w:hanging="360"/>
      </w:pPr>
    </w:lvl>
    <w:lvl w:ilvl="2" w:tplc="0402001B" w:tentative="1">
      <w:start w:val="1"/>
      <w:numFmt w:val="lowerRoman"/>
      <w:lvlText w:val="%3."/>
      <w:lvlJc w:val="right"/>
      <w:pPr>
        <w:ind w:left="2503" w:hanging="180"/>
      </w:pPr>
    </w:lvl>
    <w:lvl w:ilvl="3" w:tplc="0402000F" w:tentative="1">
      <w:start w:val="1"/>
      <w:numFmt w:val="decimal"/>
      <w:lvlText w:val="%4."/>
      <w:lvlJc w:val="left"/>
      <w:pPr>
        <w:ind w:left="3223" w:hanging="360"/>
      </w:pPr>
    </w:lvl>
    <w:lvl w:ilvl="4" w:tplc="04020019" w:tentative="1">
      <w:start w:val="1"/>
      <w:numFmt w:val="lowerLetter"/>
      <w:lvlText w:val="%5."/>
      <w:lvlJc w:val="left"/>
      <w:pPr>
        <w:ind w:left="3943" w:hanging="360"/>
      </w:pPr>
    </w:lvl>
    <w:lvl w:ilvl="5" w:tplc="0402001B" w:tentative="1">
      <w:start w:val="1"/>
      <w:numFmt w:val="lowerRoman"/>
      <w:lvlText w:val="%6."/>
      <w:lvlJc w:val="right"/>
      <w:pPr>
        <w:ind w:left="4663" w:hanging="180"/>
      </w:pPr>
    </w:lvl>
    <w:lvl w:ilvl="6" w:tplc="0402000F" w:tentative="1">
      <w:start w:val="1"/>
      <w:numFmt w:val="decimal"/>
      <w:lvlText w:val="%7."/>
      <w:lvlJc w:val="left"/>
      <w:pPr>
        <w:ind w:left="5383" w:hanging="360"/>
      </w:pPr>
    </w:lvl>
    <w:lvl w:ilvl="7" w:tplc="04020019" w:tentative="1">
      <w:start w:val="1"/>
      <w:numFmt w:val="lowerLetter"/>
      <w:lvlText w:val="%8."/>
      <w:lvlJc w:val="left"/>
      <w:pPr>
        <w:ind w:left="6103" w:hanging="360"/>
      </w:pPr>
    </w:lvl>
    <w:lvl w:ilvl="8" w:tplc="0402001B" w:tentative="1">
      <w:start w:val="1"/>
      <w:numFmt w:val="lowerRoman"/>
      <w:lvlText w:val="%9."/>
      <w:lvlJc w:val="right"/>
      <w:pPr>
        <w:ind w:left="6823" w:hanging="180"/>
      </w:pPr>
    </w:lvl>
  </w:abstractNum>
  <w:abstractNum w:abstractNumId="2" w15:restartNumberingAfterBreak="0">
    <w:nsid w:val="109E3937"/>
    <w:multiLevelType w:val="hybridMultilevel"/>
    <w:tmpl w:val="14AEDCBE"/>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9393CC8"/>
    <w:multiLevelType w:val="hybridMultilevel"/>
    <w:tmpl w:val="1FC0776A"/>
    <w:lvl w:ilvl="0" w:tplc="04020001">
      <w:start w:val="1"/>
      <w:numFmt w:val="bullet"/>
      <w:lvlText w:val=""/>
      <w:lvlJc w:val="left"/>
      <w:pPr>
        <w:ind w:left="1003" w:hanging="360"/>
      </w:pPr>
      <w:rPr>
        <w:rFonts w:ascii="Symbol" w:hAnsi="Symbo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5" w15:restartNumberingAfterBreak="0">
    <w:nsid w:val="2B726C0B"/>
    <w:multiLevelType w:val="hybridMultilevel"/>
    <w:tmpl w:val="90B62C7E"/>
    <w:lvl w:ilvl="0" w:tplc="65A0212C">
      <w:start w:val="1"/>
      <w:numFmt w:val="decimal"/>
      <w:lvlText w:val="%1."/>
      <w:lvlJc w:val="left"/>
      <w:pPr>
        <w:ind w:left="720" w:hanging="360"/>
      </w:pPr>
      <w:rPr>
        <w:rFonts w:asciiTheme="minorHAnsi" w:eastAsiaTheme="minorEastAsia" w:hAnsiTheme="minorHAnsi" w:cstheme="minorBid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7CB154F"/>
    <w:multiLevelType w:val="hybridMultilevel"/>
    <w:tmpl w:val="E30ABC52"/>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8"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9" w15:restartNumberingAfterBreak="0">
    <w:nsid w:val="3DE70959"/>
    <w:multiLevelType w:val="hybridMultilevel"/>
    <w:tmpl w:val="A7981668"/>
    <w:lvl w:ilvl="0" w:tplc="3244C8B6">
      <w:start w:val="1"/>
      <w:numFmt w:val="decimal"/>
      <w:lvlText w:val="%1."/>
      <w:lvlJc w:val="left"/>
      <w:pPr>
        <w:ind w:left="388" w:hanging="360"/>
      </w:pPr>
      <w:rPr>
        <w:rFonts w:hint="default"/>
      </w:rPr>
    </w:lvl>
    <w:lvl w:ilvl="1" w:tplc="04020019" w:tentative="1">
      <w:start w:val="1"/>
      <w:numFmt w:val="lowerLetter"/>
      <w:lvlText w:val="%2."/>
      <w:lvlJc w:val="left"/>
      <w:pPr>
        <w:ind w:left="1108" w:hanging="360"/>
      </w:pPr>
    </w:lvl>
    <w:lvl w:ilvl="2" w:tplc="0402001B" w:tentative="1">
      <w:start w:val="1"/>
      <w:numFmt w:val="lowerRoman"/>
      <w:lvlText w:val="%3."/>
      <w:lvlJc w:val="right"/>
      <w:pPr>
        <w:ind w:left="1828" w:hanging="180"/>
      </w:pPr>
    </w:lvl>
    <w:lvl w:ilvl="3" w:tplc="0402000F" w:tentative="1">
      <w:start w:val="1"/>
      <w:numFmt w:val="decimal"/>
      <w:lvlText w:val="%4."/>
      <w:lvlJc w:val="left"/>
      <w:pPr>
        <w:ind w:left="2548" w:hanging="360"/>
      </w:pPr>
    </w:lvl>
    <w:lvl w:ilvl="4" w:tplc="04020019" w:tentative="1">
      <w:start w:val="1"/>
      <w:numFmt w:val="lowerLetter"/>
      <w:lvlText w:val="%5."/>
      <w:lvlJc w:val="left"/>
      <w:pPr>
        <w:ind w:left="3268" w:hanging="360"/>
      </w:pPr>
    </w:lvl>
    <w:lvl w:ilvl="5" w:tplc="0402001B" w:tentative="1">
      <w:start w:val="1"/>
      <w:numFmt w:val="lowerRoman"/>
      <w:lvlText w:val="%6."/>
      <w:lvlJc w:val="right"/>
      <w:pPr>
        <w:ind w:left="3988" w:hanging="180"/>
      </w:pPr>
    </w:lvl>
    <w:lvl w:ilvl="6" w:tplc="0402000F" w:tentative="1">
      <w:start w:val="1"/>
      <w:numFmt w:val="decimal"/>
      <w:lvlText w:val="%7."/>
      <w:lvlJc w:val="left"/>
      <w:pPr>
        <w:ind w:left="4708" w:hanging="360"/>
      </w:pPr>
    </w:lvl>
    <w:lvl w:ilvl="7" w:tplc="04020019" w:tentative="1">
      <w:start w:val="1"/>
      <w:numFmt w:val="lowerLetter"/>
      <w:lvlText w:val="%8."/>
      <w:lvlJc w:val="left"/>
      <w:pPr>
        <w:ind w:left="5428" w:hanging="360"/>
      </w:pPr>
    </w:lvl>
    <w:lvl w:ilvl="8" w:tplc="0402001B" w:tentative="1">
      <w:start w:val="1"/>
      <w:numFmt w:val="lowerRoman"/>
      <w:lvlText w:val="%9."/>
      <w:lvlJc w:val="right"/>
      <w:pPr>
        <w:ind w:left="6148" w:hanging="180"/>
      </w:pPr>
    </w:lvl>
  </w:abstractNum>
  <w:abstractNum w:abstractNumId="10"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6335F08"/>
    <w:multiLevelType w:val="hybridMultilevel"/>
    <w:tmpl w:val="FC6412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76D7518"/>
    <w:multiLevelType w:val="hybridMultilevel"/>
    <w:tmpl w:val="B596E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C283B79"/>
    <w:multiLevelType w:val="hybridMultilevel"/>
    <w:tmpl w:val="D64A9578"/>
    <w:lvl w:ilvl="0" w:tplc="003E86F8">
      <w:start w:val="1"/>
      <w:numFmt w:val="decimal"/>
      <w:lvlText w:val="%1."/>
      <w:lvlJc w:val="left"/>
      <w:pPr>
        <w:tabs>
          <w:tab w:val="num" w:pos="644"/>
        </w:tabs>
        <w:ind w:left="644"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0F">
      <w:start w:val="1"/>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abstractNum w:abstractNumId="16" w15:restartNumberingAfterBreak="0">
    <w:nsid w:val="66120BCF"/>
    <w:multiLevelType w:val="hybridMultilevel"/>
    <w:tmpl w:val="C73861E0"/>
    <w:lvl w:ilvl="0" w:tplc="3CB69216">
      <w:start w:val="1"/>
      <w:numFmt w:val="decimal"/>
      <w:lvlText w:val="%1."/>
      <w:lvlJc w:val="left"/>
      <w:pPr>
        <w:ind w:left="1063" w:hanging="360"/>
      </w:pPr>
      <w:rPr>
        <w:rFonts w:hint="default"/>
      </w:rPr>
    </w:lvl>
    <w:lvl w:ilvl="1" w:tplc="04020019" w:tentative="1">
      <w:start w:val="1"/>
      <w:numFmt w:val="lowerLetter"/>
      <w:lvlText w:val="%2."/>
      <w:lvlJc w:val="left"/>
      <w:pPr>
        <w:ind w:left="1783" w:hanging="360"/>
      </w:pPr>
    </w:lvl>
    <w:lvl w:ilvl="2" w:tplc="0402001B" w:tentative="1">
      <w:start w:val="1"/>
      <w:numFmt w:val="lowerRoman"/>
      <w:lvlText w:val="%3."/>
      <w:lvlJc w:val="right"/>
      <w:pPr>
        <w:ind w:left="2503" w:hanging="180"/>
      </w:pPr>
    </w:lvl>
    <w:lvl w:ilvl="3" w:tplc="0402000F" w:tentative="1">
      <w:start w:val="1"/>
      <w:numFmt w:val="decimal"/>
      <w:lvlText w:val="%4."/>
      <w:lvlJc w:val="left"/>
      <w:pPr>
        <w:ind w:left="3223" w:hanging="360"/>
      </w:pPr>
    </w:lvl>
    <w:lvl w:ilvl="4" w:tplc="04020019" w:tentative="1">
      <w:start w:val="1"/>
      <w:numFmt w:val="lowerLetter"/>
      <w:lvlText w:val="%5."/>
      <w:lvlJc w:val="left"/>
      <w:pPr>
        <w:ind w:left="3943" w:hanging="360"/>
      </w:pPr>
    </w:lvl>
    <w:lvl w:ilvl="5" w:tplc="0402001B" w:tentative="1">
      <w:start w:val="1"/>
      <w:numFmt w:val="lowerRoman"/>
      <w:lvlText w:val="%6."/>
      <w:lvlJc w:val="right"/>
      <w:pPr>
        <w:ind w:left="4663" w:hanging="180"/>
      </w:pPr>
    </w:lvl>
    <w:lvl w:ilvl="6" w:tplc="0402000F" w:tentative="1">
      <w:start w:val="1"/>
      <w:numFmt w:val="decimal"/>
      <w:lvlText w:val="%7."/>
      <w:lvlJc w:val="left"/>
      <w:pPr>
        <w:ind w:left="5383" w:hanging="360"/>
      </w:pPr>
    </w:lvl>
    <w:lvl w:ilvl="7" w:tplc="04020019" w:tentative="1">
      <w:start w:val="1"/>
      <w:numFmt w:val="lowerLetter"/>
      <w:lvlText w:val="%8."/>
      <w:lvlJc w:val="left"/>
      <w:pPr>
        <w:ind w:left="6103" w:hanging="360"/>
      </w:pPr>
    </w:lvl>
    <w:lvl w:ilvl="8" w:tplc="0402001B" w:tentative="1">
      <w:start w:val="1"/>
      <w:numFmt w:val="lowerRoman"/>
      <w:lvlText w:val="%9."/>
      <w:lvlJc w:val="right"/>
      <w:pPr>
        <w:ind w:left="6823" w:hanging="180"/>
      </w:pPr>
    </w:lvl>
  </w:abstractNum>
  <w:abstractNum w:abstractNumId="17" w15:restartNumberingAfterBreak="0">
    <w:nsid w:val="68B94969"/>
    <w:multiLevelType w:val="hybridMultilevel"/>
    <w:tmpl w:val="A90231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C4D176E"/>
    <w:multiLevelType w:val="hybridMultilevel"/>
    <w:tmpl w:val="1EB8F9AE"/>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A696414"/>
    <w:multiLevelType w:val="hybridMultilevel"/>
    <w:tmpl w:val="69D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9"/>
  </w:num>
  <w:num w:numId="5">
    <w:abstractNumId w:val="3"/>
  </w:num>
  <w:num w:numId="6">
    <w:abstractNumId w:val="14"/>
  </w:num>
  <w:num w:numId="7">
    <w:abstractNumId w:val="2"/>
  </w:num>
  <w:num w:numId="8">
    <w:abstractNumId w:val="18"/>
  </w:num>
  <w:num w:numId="9">
    <w:abstractNumId w:val="7"/>
  </w:num>
  <w:num w:numId="10">
    <w:abstractNumId w:val="12"/>
  </w:num>
  <w:num w:numId="11">
    <w:abstractNumId w:val="5"/>
  </w:num>
  <w:num w:numId="12">
    <w:abstractNumId w:val="11"/>
  </w:num>
  <w:num w:numId="13">
    <w:abstractNumId w:val="0"/>
  </w:num>
  <w:num w:numId="14">
    <w:abstractNumId w:val="20"/>
  </w:num>
  <w:num w:numId="15">
    <w:abstractNumId w:val="4"/>
  </w:num>
  <w:num w:numId="16">
    <w:abstractNumId w:val="17"/>
  </w:num>
  <w:num w:numId="17">
    <w:abstractNumId w:val="8"/>
  </w:num>
  <w:num w:numId="18">
    <w:abstractNumId w:val="8"/>
    <w:lvlOverride w:ilvl="0">
      <w:lvl w:ilvl="0">
        <w:start w:val="1"/>
        <w:numFmt w:val="decimal"/>
        <w:lvlText w:val="%1."/>
        <w:legacy w:legacy="1" w:legacySpace="0" w:legacyIndent="327"/>
        <w:lvlJc w:val="left"/>
        <w:rPr>
          <w:rFonts w:ascii="Times New Roman" w:hAnsi="Times New Roman" w:cs="Times New Roman" w:hint="default"/>
          <w:b w:val="0"/>
        </w:rPr>
      </w:lvl>
    </w:lvlOverride>
  </w:num>
  <w:num w:numId="19">
    <w:abstractNumId w:val="15"/>
  </w:num>
  <w:num w:numId="20">
    <w:abstractNumId w:val="9"/>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7F18"/>
    <w:rsid w:val="0001463C"/>
    <w:rsid w:val="00022185"/>
    <w:rsid w:val="00032744"/>
    <w:rsid w:val="00035426"/>
    <w:rsid w:val="0004346C"/>
    <w:rsid w:val="0004379C"/>
    <w:rsid w:val="0005255A"/>
    <w:rsid w:val="000616E2"/>
    <w:rsid w:val="00061997"/>
    <w:rsid w:val="0006447B"/>
    <w:rsid w:val="00074741"/>
    <w:rsid w:val="00081227"/>
    <w:rsid w:val="00084B97"/>
    <w:rsid w:val="00090548"/>
    <w:rsid w:val="000912E2"/>
    <w:rsid w:val="000B2B87"/>
    <w:rsid w:val="000B527C"/>
    <w:rsid w:val="000C2858"/>
    <w:rsid w:val="000C56BB"/>
    <w:rsid w:val="000C5B0D"/>
    <w:rsid w:val="000E04B8"/>
    <w:rsid w:val="000E5734"/>
    <w:rsid w:val="000E72E8"/>
    <w:rsid w:val="000E7FEA"/>
    <w:rsid w:val="000F427C"/>
    <w:rsid w:val="000F4FD4"/>
    <w:rsid w:val="000F7109"/>
    <w:rsid w:val="00106A4C"/>
    <w:rsid w:val="00116077"/>
    <w:rsid w:val="00124D0C"/>
    <w:rsid w:val="00125E65"/>
    <w:rsid w:val="00131B51"/>
    <w:rsid w:val="00140065"/>
    <w:rsid w:val="00152A44"/>
    <w:rsid w:val="00152C93"/>
    <w:rsid w:val="00155461"/>
    <w:rsid w:val="001677B1"/>
    <w:rsid w:val="0017047B"/>
    <w:rsid w:val="0017207C"/>
    <w:rsid w:val="00175B74"/>
    <w:rsid w:val="001769CB"/>
    <w:rsid w:val="00177D79"/>
    <w:rsid w:val="00183E31"/>
    <w:rsid w:val="00187097"/>
    <w:rsid w:val="0019078C"/>
    <w:rsid w:val="00197CA1"/>
    <w:rsid w:val="001A1972"/>
    <w:rsid w:val="001A6763"/>
    <w:rsid w:val="001B2081"/>
    <w:rsid w:val="001B3F5F"/>
    <w:rsid w:val="001B7671"/>
    <w:rsid w:val="001C07D0"/>
    <w:rsid w:val="001D19EB"/>
    <w:rsid w:val="001E08D9"/>
    <w:rsid w:val="001E7B77"/>
    <w:rsid w:val="001F7AE2"/>
    <w:rsid w:val="002049BC"/>
    <w:rsid w:val="002059C9"/>
    <w:rsid w:val="00207176"/>
    <w:rsid w:val="00207823"/>
    <w:rsid w:val="00211D5F"/>
    <w:rsid w:val="00213397"/>
    <w:rsid w:val="00225BD7"/>
    <w:rsid w:val="00227C3E"/>
    <w:rsid w:val="00233275"/>
    <w:rsid w:val="00234139"/>
    <w:rsid w:val="002464AB"/>
    <w:rsid w:val="002466E0"/>
    <w:rsid w:val="00251C6C"/>
    <w:rsid w:val="00266515"/>
    <w:rsid w:val="00271CAA"/>
    <w:rsid w:val="00273643"/>
    <w:rsid w:val="00280BAB"/>
    <w:rsid w:val="00282A5D"/>
    <w:rsid w:val="00284C1B"/>
    <w:rsid w:val="00294A67"/>
    <w:rsid w:val="002A263C"/>
    <w:rsid w:val="002A2F07"/>
    <w:rsid w:val="002A567E"/>
    <w:rsid w:val="002A56E7"/>
    <w:rsid w:val="002B28E8"/>
    <w:rsid w:val="002B50C2"/>
    <w:rsid w:val="002B7C49"/>
    <w:rsid w:val="002C2B58"/>
    <w:rsid w:val="002D19CA"/>
    <w:rsid w:val="002D27F5"/>
    <w:rsid w:val="002D3506"/>
    <w:rsid w:val="002F1712"/>
    <w:rsid w:val="003178EA"/>
    <w:rsid w:val="0032065B"/>
    <w:rsid w:val="00334921"/>
    <w:rsid w:val="003362DF"/>
    <w:rsid w:val="00343610"/>
    <w:rsid w:val="0034681C"/>
    <w:rsid w:val="00347307"/>
    <w:rsid w:val="00350E48"/>
    <w:rsid w:val="0035733D"/>
    <w:rsid w:val="003624E7"/>
    <w:rsid w:val="00374A89"/>
    <w:rsid w:val="0038210C"/>
    <w:rsid w:val="003825AE"/>
    <w:rsid w:val="00383733"/>
    <w:rsid w:val="0039422B"/>
    <w:rsid w:val="00395915"/>
    <w:rsid w:val="003A2DF7"/>
    <w:rsid w:val="003A72C0"/>
    <w:rsid w:val="003C2AEB"/>
    <w:rsid w:val="003C5440"/>
    <w:rsid w:val="003D10E7"/>
    <w:rsid w:val="003D4D70"/>
    <w:rsid w:val="00402115"/>
    <w:rsid w:val="004102B4"/>
    <w:rsid w:val="004146CF"/>
    <w:rsid w:val="00417B50"/>
    <w:rsid w:val="0042389A"/>
    <w:rsid w:val="0042446A"/>
    <w:rsid w:val="00426D30"/>
    <w:rsid w:val="004318A7"/>
    <w:rsid w:val="00433855"/>
    <w:rsid w:val="00435F0C"/>
    <w:rsid w:val="004375C9"/>
    <w:rsid w:val="00441818"/>
    <w:rsid w:val="00451140"/>
    <w:rsid w:val="004657BA"/>
    <w:rsid w:val="00466C3A"/>
    <w:rsid w:val="00477A39"/>
    <w:rsid w:val="004845E4"/>
    <w:rsid w:val="00486B57"/>
    <w:rsid w:val="00492E1C"/>
    <w:rsid w:val="004D1CB0"/>
    <w:rsid w:val="004E1032"/>
    <w:rsid w:val="004E615F"/>
    <w:rsid w:val="004E68A6"/>
    <w:rsid w:val="004F0EEF"/>
    <w:rsid w:val="004F51DF"/>
    <w:rsid w:val="00503D2E"/>
    <w:rsid w:val="005129FA"/>
    <w:rsid w:val="0052192C"/>
    <w:rsid w:val="005225C0"/>
    <w:rsid w:val="00523663"/>
    <w:rsid w:val="00534D7C"/>
    <w:rsid w:val="005357A2"/>
    <w:rsid w:val="005526E5"/>
    <w:rsid w:val="00554419"/>
    <w:rsid w:val="00563266"/>
    <w:rsid w:val="00563A9A"/>
    <w:rsid w:val="005656C9"/>
    <w:rsid w:val="00566451"/>
    <w:rsid w:val="005675B1"/>
    <w:rsid w:val="00572F64"/>
    <w:rsid w:val="005732C1"/>
    <w:rsid w:val="00584590"/>
    <w:rsid w:val="00595E46"/>
    <w:rsid w:val="005B4694"/>
    <w:rsid w:val="005C0645"/>
    <w:rsid w:val="005C0D21"/>
    <w:rsid w:val="005C296F"/>
    <w:rsid w:val="005C56B0"/>
    <w:rsid w:val="005D5177"/>
    <w:rsid w:val="005E022A"/>
    <w:rsid w:val="005E168D"/>
    <w:rsid w:val="005F0315"/>
    <w:rsid w:val="005F1956"/>
    <w:rsid w:val="005F279F"/>
    <w:rsid w:val="005F33F8"/>
    <w:rsid w:val="005F380B"/>
    <w:rsid w:val="006064A5"/>
    <w:rsid w:val="00607E8D"/>
    <w:rsid w:val="00611F82"/>
    <w:rsid w:val="00611FBA"/>
    <w:rsid w:val="00616904"/>
    <w:rsid w:val="00636FE7"/>
    <w:rsid w:val="00642552"/>
    <w:rsid w:val="00643310"/>
    <w:rsid w:val="0065108A"/>
    <w:rsid w:val="00651172"/>
    <w:rsid w:val="006535F9"/>
    <w:rsid w:val="0066096F"/>
    <w:rsid w:val="0066132A"/>
    <w:rsid w:val="00663E9D"/>
    <w:rsid w:val="00665149"/>
    <w:rsid w:val="00665651"/>
    <w:rsid w:val="00686569"/>
    <w:rsid w:val="00691587"/>
    <w:rsid w:val="006A6560"/>
    <w:rsid w:val="006C0560"/>
    <w:rsid w:val="006C1C2B"/>
    <w:rsid w:val="006C5D52"/>
    <w:rsid w:val="006D3871"/>
    <w:rsid w:val="006E6C60"/>
    <w:rsid w:val="006F2413"/>
    <w:rsid w:val="006F4BB9"/>
    <w:rsid w:val="00700FA4"/>
    <w:rsid w:val="007028C1"/>
    <w:rsid w:val="00707452"/>
    <w:rsid w:val="0071072D"/>
    <w:rsid w:val="007154A0"/>
    <w:rsid w:val="00717FEC"/>
    <w:rsid w:val="00721C46"/>
    <w:rsid w:val="0073681E"/>
    <w:rsid w:val="00737D7B"/>
    <w:rsid w:val="00740335"/>
    <w:rsid w:val="00747221"/>
    <w:rsid w:val="00755A89"/>
    <w:rsid w:val="00776368"/>
    <w:rsid w:val="00777684"/>
    <w:rsid w:val="00782D2A"/>
    <w:rsid w:val="00790383"/>
    <w:rsid w:val="00790D12"/>
    <w:rsid w:val="00790F02"/>
    <w:rsid w:val="00793220"/>
    <w:rsid w:val="00794F45"/>
    <w:rsid w:val="007A5DB7"/>
    <w:rsid w:val="007A7E32"/>
    <w:rsid w:val="007C1C79"/>
    <w:rsid w:val="007D1306"/>
    <w:rsid w:val="007D2860"/>
    <w:rsid w:val="007D30E4"/>
    <w:rsid w:val="007D4837"/>
    <w:rsid w:val="007E470B"/>
    <w:rsid w:val="007E6ADB"/>
    <w:rsid w:val="007F4E56"/>
    <w:rsid w:val="00801F17"/>
    <w:rsid w:val="0080314A"/>
    <w:rsid w:val="00827D36"/>
    <w:rsid w:val="008504B0"/>
    <w:rsid w:val="00855408"/>
    <w:rsid w:val="00855BB9"/>
    <w:rsid w:val="0085610B"/>
    <w:rsid w:val="008579EE"/>
    <w:rsid w:val="00871EDA"/>
    <w:rsid w:val="008874DE"/>
    <w:rsid w:val="00893625"/>
    <w:rsid w:val="008A19C3"/>
    <w:rsid w:val="008A6196"/>
    <w:rsid w:val="008B7871"/>
    <w:rsid w:val="008E2895"/>
    <w:rsid w:val="008F0ABA"/>
    <w:rsid w:val="008F0EE2"/>
    <w:rsid w:val="008F6ADA"/>
    <w:rsid w:val="009001A0"/>
    <w:rsid w:val="0091001F"/>
    <w:rsid w:val="0091362F"/>
    <w:rsid w:val="0092403C"/>
    <w:rsid w:val="009334C6"/>
    <w:rsid w:val="00936281"/>
    <w:rsid w:val="009462C9"/>
    <w:rsid w:val="009518D9"/>
    <w:rsid w:val="009521BF"/>
    <w:rsid w:val="00961890"/>
    <w:rsid w:val="00966806"/>
    <w:rsid w:val="00967BE8"/>
    <w:rsid w:val="00975CB4"/>
    <w:rsid w:val="00976FD2"/>
    <w:rsid w:val="00990F8C"/>
    <w:rsid w:val="009942C0"/>
    <w:rsid w:val="00996BF9"/>
    <w:rsid w:val="009A3B9B"/>
    <w:rsid w:val="009B442C"/>
    <w:rsid w:val="009C38AC"/>
    <w:rsid w:val="009C7494"/>
    <w:rsid w:val="009E5501"/>
    <w:rsid w:val="009E5A28"/>
    <w:rsid w:val="009E7C0B"/>
    <w:rsid w:val="009F696A"/>
    <w:rsid w:val="009F6F64"/>
    <w:rsid w:val="00A00FDB"/>
    <w:rsid w:val="00A05C69"/>
    <w:rsid w:val="00A10E04"/>
    <w:rsid w:val="00A129E6"/>
    <w:rsid w:val="00A14E54"/>
    <w:rsid w:val="00A15448"/>
    <w:rsid w:val="00A22D57"/>
    <w:rsid w:val="00A24B20"/>
    <w:rsid w:val="00A30D4F"/>
    <w:rsid w:val="00A4148F"/>
    <w:rsid w:val="00A43CCD"/>
    <w:rsid w:val="00A514B2"/>
    <w:rsid w:val="00A56DBA"/>
    <w:rsid w:val="00A7708D"/>
    <w:rsid w:val="00A85C6C"/>
    <w:rsid w:val="00A85EDC"/>
    <w:rsid w:val="00AA2CA4"/>
    <w:rsid w:val="00AA316E"/>
    <w:rsid w:val="00AA5FDD"/>
    <w:rsid w:val="00AA663B"/>
    <w:rsid w:val="00AB0BBB"/>
    <w:rsid w:val="00AB4F31"/>
    <w:rsid w:val="00AC74B4"/>
    <w:rsid w:val="00AD0EDD"/>
    <w:rsid w:val="00AD146C"/>
    <w:rsid w:val="00AD1719"/>
    <w:rsid w:val="00AD1AD7"/>
    <w:rsid w:val="00AD39F2"/>
    <w:rsid w:val="00AD41EB"/>
    <w:rsid w:val="00AD7369"/>
    <w:rsid w:val="00AE0294"/>
    <w:rsid w:val="00AE220B"/>
    <w:rsid w:val="00AE400F"/>
    <w:rsid w:val="00AF5D1A"/>
    <w:rsid w:val="00B0252F"/>
    <w:rsid w:val="00B04E91"/>
    <w:rsid w:val="00B05DD8"/>
    <w:rsid w:val="00B130A0"/>
    <w:rsid w:val="00B2708C"/>
    <w:rsid w:val="00B37AA1"/>
    <w:rsid w:val="00B431B6"/>
    <w:rsid w:val="00B510A4"/>
    <w:rsid w:val="00B52078"/>
    <w:rsid w:val="00B562E2"/>
    <w:rsid w:val="00B6748B"/>
    <w:rsid w:val="00B67DA3"/>
    <w:rsid w:val="00B71CAC"/>
    <w:rsid w:val="00B73CA8"/>
    <w:rsid w:val="00B74587"/>
    <w:rsid w:val="00B759E6"/>
    <w:rsid w:val="00B83B64"/>
    <w:rsid w:val="00B85523"/>
    <w:rsid w:val="00B87ADD"/>
    <w:rsid w:val="00B92E8C"/>
    <w:rsid w:val="00B94497"/>
    <w:rsid w:val="00BA6E5C"/>
    <w:rsid w:val="00BA7802"/>
    <w:rsid w:val="00BC5CE1"/>
    <w:rsid w:val="00BD1CC6"/>
    <w:rsid w:val="00BD6135"/>
    <w:rsid w:val="00BF3EA1"/>
    <w:rsid w:val="00BF46B6"/>
    <w:rsid w:val="00C04997"/>
    <w:rsid w:val="00C04C64"/>
    <w:rsid w:val="00C06C44"/>
    <w:rsid w:val="00C131BD"/>
    <w:rsid w:val="00C14837"/>
    <w:rsid w:val="00C20AE4"/>
    <w:rsid w:val="00C3356E"/>
    <w:rsid w:val="00C3374B"/>
    <w:rsid w:val="00C476F2"/>
    <w:rsid w:val="00C477D7"/>
    <w:rsid w:val="00C572F5"/>
    <w:rsid w:val="00C6404F"/>
    <w:rsid w:val="00C76F2C"/>
    <w:rsid w:val="00C81F43"/>
    <w:rsid w:val="00CA0F4F"/>
    <w:rsid w:val="00CA5A9E"/>
    <w:rsid w:val="00CA696C"/>
    <w:rsid w:val="00CB021F"/>
    <w:rsid w:val="00CB152A"/>
    <w:rsid w:val="00CD32CE"/>
    <w:rsid w:val="00CD75B4"/>
    <w:rsid w:val="00CD7C14"/>
    <w:rsid w:val="00CE3CFD"/>
    <w:rsid w:val="00CF0127"/>
    <w:rsid w:val="00CF7AA6"/>
    <w:rsid w:val="00D0028A"/>
    <w:rsid w:val="00D030D9"/>
    <w:rsid w:val="00D114E4"/>
    <w:rsid w:val="00D1461E"/>
    <w:rsid w:val="00D16D85"/>
    <w:rsid w:val="00D345A8"/>
    <w:rsid w:val="00D51D60"/>
    <w:rsid w:val="00D57A51"/>
    <w:rsid w:val="00D652AB"/>
    <w:rsid w:val="00D67597"/>
    <w:rsid w:val="00D710D3"/>
    <w:rsid w:val="00D753E4"/>
    <w:rsid w:val="00D80F7D"/>
    <w:rsid w:val="00D84FB3"/>
    <w:rsid w:val="00D8586F"/>
    <w:rsid w:val="00D96C2E"/>
    <w:rsid w:val="00DA13DC"/>
    <w:rsid w:val="00DA294B"/>
    <w:rsid w:val="00DB189E"/>
    <w:rsid w:val="00DB20AE"/>
    <w:rsid w:val="00DB3221"/>
    <w:rsid w:val="00DB347F"/>
    <w:rsid w:val="00DD3884"/>
    <w:rsid w:val="00DD48B7"/>
    <w:rsid w:val="00DD5A2F"/>
    <w:rsid w:val="00DF16FF"/>
    <w:rsid w:val="00DF2CAB"/>
    <w:rsid w:val="00DF39BA"/>
    <w:rsid w:val="00DF5A66"/>
    <w:rsid w:val="00E015ED"/>
    <w:rsid w:val="00E13D1F"/>
    <w:rsid w:val="00E2379B"/>
    <w:rsid w:val="00E3660C"/>
    <w:rsid w:val="00E472EA"/>
    <w:rsid w:val="00E53DC2"/>
    <w:rsid w:val="00E56BBF"/>
    <w:rsid w:val="00E63900"/>
    <w:rsid w:val="00E72CCD"/>
    <w:rsid w:val="00E741F3"/>
    <w:rsid w:val="00E7594D"/>
    <w:rsid w:val="00E86CCD"/>
    <w:rsid w:val="00E9179E"/>
    <w:rsid w:val="00E933B0"/>
    <w:rsid w:val="00EB5DE8"/>
    <w:rsid w:val="00EB7666"/>
    <w:rsid w:val="00EC0C1C"/>
    <w:rsid w:val="00EC1479"/>
    <w:rsid w:val="00EC3BDD"/>
    <w:rsid w:val="00EC45C7"/>
    <w:rsid w:val="00ED0E31"/>
    <w:rsid w:val="00ED4A21"/>
    <w:rsid w:val="00EE2711"/>
    <w:rsid w:val="00F2797A"/>
    <w:rsid w:val="00F33A58"/>
    <w:rsid w:val="00F40897"/>
    <w:rsid w:val="00F50A61"/>
    <w:rsid w:val="00F51CA5"/>
    <w:rsid w:val="00F52BA3"/>
    <w:rsid w:val="00F544FF"/>
    <w:rsid w:val="00F6518B"/>
    <w:rsid w:val="00F74B28"/>
    <w:rsid w:val="00F80651"/>
    <w:rsid w:val="00F91F34"/>
    <w:rsid w:val="00F95CBA"/>
    <w:rsid w:val="00FA14AD"/>
    <w:rsid w:val="00FA4AE3"/>
    <w:rsid w:val="00FB02A5"/>
    <w:rsid w:val="00FB6757"/>
    <w:rsid w:val="00FD2EA0"/>
    <w:rsid w:val="00FD3879"/>
    <w:rsid w:val="00FD3A7A"/>
    <w:rsid w:val="00FD4266"/>
    <w:rsid w:val="00FE213F"/>
    <w:rsid w:val="00FF177A"/>
    <w:rsid w:val="00FF3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5:docId w15:val="{0C2F0965-3040-405A-902F-2002643B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56BBF"/>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251C6C"/>
    <w:pPr>
      <w:autoSpaceDE w:val="0"/>
      <w:autoSpaceDN w:val="0"/>
      <w:spacing w:after="0" w:line="240" w:lineRule="auto"/>
      <w:ind w:left="720"/>
      <w:jc w:val="both"/>
    </w:pPr>
    <w:rPr>
      <w:rFonts w:ascii="Times New Roman" w:eastAsia="Times New Roman" w:hAnsi="Times New Roman" w:cs="Times New Roman"/>
      <w:b/>
      <w:bCs/>
      <w:sz w:val="20"/>
      <w:szCs w:val="24"/>
      <w:lang w:val="bg-BG"/>
    </w:rPr>
  </w:style>
  <w:style w:type="character" w:customStyle="1" w:styleId="BodyTextIndentChar">
    <w:name w:val="Body Text Indent Char"/>
    <w:basedOn w:val="DefaultParagraphFont"/>
    <w:link w:val="BodyTextIndent"/>
    <w:rsid w:val="00251C6C"/>
    <w:rPr>
      <w:rFonts w:ascii="Times New Roman" w:eastAsia="Times New Roman" w:hAnsi="Times New Roman" w:cs="Times New Roman"/>
      <w:b/>
      <w:bCs/>
      <w:sz w:val="20"/>
      <w:szCs w:val="24"/>
      <w:lang w:val="bg-BG"/>
    </w:rPr>
  </w:style>
  <w:style w:type="paragraph" w:styleId="NoSpacing">
    <w:name w:val="No Spacing"/>
    <w:uiPriority w:val="99"/>
    <w:qFormat/>
    <w:rsid w:val="00251C6C"/>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251C6C"/>
    <w:rPr>
      <w:i/>
      <w:iCs w:val="0"/>
      <w:color w:val="808080"/>
    </w:rPr>
  </w:style>
  <w:style w:type="table" w:styleId="LightList-Accent1">
    <w:name w:val="Light List Accent 1"/>
    <w:basedOn w:val="TableNormal"/>
    <w:uiPriority w:val="61"/>
    <w:rsid w:val="0034681C"/>
    <w:pPr>
      <w:spacing w:after="0" w:line="240" w:lineRule="auto"/>
    </w:pPr>
    <w:rPr>
      <w:rFonts w:eastAsiaTheme="minorHAnsi"/>
      <w:lang w:val="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5">
    <w:name w:val="Light Grid Accent 5"/>
    <w:basedOn w:val="TableNormal"/>
    <w:uiPriority w:val="62"/>
    <w:rsid w:val="00EC14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odyTextIndent3">
    <w:name w:val="Body Text Indent 3"/>
    <w:basedOn w:val="Normal"/>
    <w:link w:val="BodyTextIndent3Char"/>
    <w:rsid w:val="00595E46"/>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5E46"/>
    <w:rPr>
      <w:rFonts w:ascii="Times New Roman" w:eastAsia="Times New Roman" w:hAnsi="Times New Roman" w:cs="Times New Roman"/>
      <w:sz w:val="16"/>
      <w:szCs w:val="16"/>
    </w:rPr>
  </w:style>
  <w:style w:type="paragraph" w:styleId="BodyText">
    <w:name w:val="Body Text"/>
    <w:basedOn w:val="Normal"/>
    <w:link w:val="BodyTextChar"/>
    <w:rsid w:val="00595E4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95E46"/>
    <w:rPr>
      <w:rFonts w:ascii="Times New Roman" w:eastAsia="Times New Roman" w:hAnsi="Times New Roman" w:cs="Times New Roman"/>
      <w:sz w:val="24"/>
      <w:szCs w:val="20"/>
    </w:rPr>
  </w:style>
  <w:style w:type="paragraph" w:styleId="Caption">
    <w:name w:val="caption"/>
    <w:basedOn w:val="Normal"/>
    <w:next w:val="Normal"/>
    <w:qFormat/>
    <w:rsid w:val="00595E46"/>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7086">
      <w:bodyDiv w:val="1"/>
      <w:marLeft w:val="0"/>
      <w:marRight w:val="0"/>
      <w:marTop w:val="0"/>
      <w:marBottom w:val="0"/>
      <w:divBdr>
        <w:top w:val="none" w:sz="0" w:space="0" w:color="auto"/>
        <w:left w:val="none" w:sz="0" w:space="0" w:color="auto"/>
        <w:bottom w:val="none" w:sz="0" w:space="0" w:color="auto"/>
        <w:right w:val="none" w:sz="0" w:space="0" w:color="auto"/>
      </w:divBdr>
    </w:div>
    <w:div w:id="26835054">
      <w:bodyDiv w:val="1"/>
      <w:marLeft w:val="0"/>
      <w:marRight w:val="0"/>
      <w:marTop w:val="0"/>
      <w:marBottom w:val="0"/>
      <w:divBdr>
        <w:top w:val="none" w:sz="0" w:space="0" w:color="auto"/>
        <w:left w:val="none" w:sz="0" w:space="0" w:color="auto"/>
        <w:bottom w:val="none" w:sz="0" w:space="0" w:color="auto"/>
        <w:right w:val="none" w:sz="0" w:space="0" w:color="auto"/>
      </w:divBdr>
    </w:div>
    <w:div w:id="35325048">
      <w:bodyDiv w:val="1"/>
      <w:marLeft w:val="0"/>
      <w:marRight w:val="0"/>
      <w:marTop w:val="0"/>
      <w:marBottom w:val="0"/>
      <w:divBdr>
        <w:top w:val="none" w:sz="0" w:space="0" w:color="auto"/>
        <w:left w:val="none" w:sz="0" w:space="0" w:color="auto"/>
        <w:bottom w:val="none" w:sz="0" w:space="0" w:color="auto"/>
        <w:right w:val="none" w:sz="0" w:space="0" w:color="auto"/>
      </w:divBdr>
    </w:div>
    <w:div w:id="75708418">
      <w:bodyDiv w:val="1"/>
      <w:marLeft w:val="0"/>
      <w:marRight w:val="0"/>
      <w:marTop w:val="0"/>
      <w:marBottom w:val="0"/>
      <w:divBdr>
        <w:top w:val="none" w:sz="0" w:space="0" w:color="auto"/>
        <w:left w:val="none" w:sz="0" w:space="0" w:color="auto"/>
        <w:bottom w:val="none" w:sz="0" w:space="0" w:color="auto"/>
        <w:right w:val="none" w:sz="0" w:space="0" w:color="auto"/>
      </w:divBdr>
    </w:div>
    <w:div w:id="327099887">
      <w:bodyDiv w:val="1"/>
      <w:marLeft w:val="0"/>
      <w:marRight w:val="0"/>
      <w:marTop w:val="0"/>
      <w:marBottom w:val="0"/>
      <w:divBdr>
        <w:top w:val="none" w:sz="0" w:space="0" w:color="auto"/>
        <w:left w:val="none" w:sz="0" w:space="0" w:color="auto"/>
        <w:bottom w:val="none" w:sz="0" w:space="0" w:color="auto"/>
        <w:right w:val="none" w:sz="0" w:space="0" w:color="auto"/>
      </w:divBdr>
    </w:div>
    <w:div w:id="352728576">
      <w:bodyDiv w:val="1"/>
      <w:marLeft w:val="0"/>
      <w:marRight w:val="0"/>
      <w:marTop w:val="0"/>
      <w:marBottom w:val="0"/>
      <w:divBdr>
        <w:top w:val="none" w:sz="0" w:space="0" w:color="auto"/>
        <w:left w:val="none" w:sz="0" w:space="0" w:color="auto"/>
        <w:bottom w:val="none" w:sz="0" w:space="0" w:color="auto"/>
        <w:right w:val="none" w:sz="0" w:space="0" w:color="auto"/>
      </w:divBdr>
    </w:div>
    <w:div w:id="500896150">
      <w:bodyDiv w:val="1"/>
      <w:marLeft w:val="0"/>
      <w:marRight w:val="0"/>
      <w:marTop w:val="0"/>
      <w:marBottom w:val="0"/>
      <w:divBdr>
        <w:top w:val="none" w:sz="0" w:space="0" w:color="auto"/>
        <w:left w:val="none" w:sz="0" w:space="0" w:color="auto"/>
        <w:bottom w:val="none" w:sz="0" w:space="0" w:color="auto"/>
        <w:right w:val="none" w:sz="0" w:space="0" w:color="auto"/>
      </w:divBdr>
    </w:div>
    <w:div w:id="525486415">
      <w:bodyDiv w:val="1"/>
      <w:marLeft w:val="0"/>
      <w:marRight w:val="0"/>
      <w:marTop w:val="0"/>
      <w:marBottom w:val="0"/>
      <w:divBdr>
        <w:top w:val="none" w:sz="0" w:space="0" w:color="auto"/>
        <w:left w:val="none" w:sz="0" w:space="0" w:color="auto"/>
        <w:bottom w:val="none" w:sz="0" w:space="0" w:color="auto"/>
        <w:right w:val="none" w:sz="0" w:space="0" w:color="auto"/>
      </w:divBdr>
    </w:div>
    <w:div w:id="601186013">
      <w:bodyDiv w:val="1"/>
      <w:marLeft w:val="0"/>
      <w:marRight w:val="0"/>
      <w:marTop w:val="0"/>
      <w:marBottom w:val="0"/>
      <w:divBdr>
        <w:top w:val="none" w:sz="0" w:space="0" w:color="auto"/>
        <w:left w:val="none" w:sz="0" w:space="0" w:color="auto"/>
        <w:bottom w:val="none" w:sz="0" w:space="0" w:color="auto"/>
        <w:right w:val="none" w:sz="0" w:space="0" w:color="auto"/>
      </w:divBdr>
    </w:div>
    <w:div w:id="745079041">
      <w:bodyDiv w:val="1"/>
      <w:marLeft w:val="0"/>
      <w:marRight w:val="0"/>
      <w:marTop w:val="0"/>
      <w:marBottom w:val="0"/>
      <w:divBdr>
        <w:top w:val="none" w:sz="0" w:space="0" w:color="auto"/>
        <w:left w:val="none" w:sz="0" w:space="0" w:color="auto"/>
        <w:bottom w:val="none" w:sz="0" w:space="0" w:color="auto"/>
        <w:right w:val="none" w:sz="0" w:space="0" w:color="auto"/>
      </w:divBdr>
    </w:div>
    <w:div w:id="755856728">
      <w:bodyDiv w:val="1"/>
      <w:marLeft w:val="0"/>
      <w:marRight w:val="0"/>
      <w:marTop w:val="0"/>
      <w:marBottom w:val="0"/>
      <w:divBdr>
        <w:top w:val="none" w:sz="0" w:space="0" w:color="auto"/>
        <w:left w:val="none" w:sz="0" w:space="0" w:color="auto"/>
        <w:bottom w:val="none" w:sz="0" w:space="0" w:color="auto"/>
        <w:right w:val="none" w:sz="0" w:space="0" w:color="auto"/>
      </w:divBdr>
    </w:div>
    <w:div w:id="828909034">
      <w:bodyDiv w:val="1"/>
      <w:marLeft w:val="0"/>
      <w:marRight w:val="0"/>
      <w:marTop w:val="0"/>
      <w:marBottom w:val="0"/>
      <w:divBdr>
        <w:top w:val="none" w:sz="0" w:space="0" w:color="auto"/>
        <w:left w:val="none" w:sz="0" w:space="0" w:color="auto"/>
        <w:bottom w:val="none" w:sz="0" w:space="0" w:color="auto"/>
        <w:right w:val="none" w:sz="0" w:space="0" w:color="auto"/>
      </w:divBdr>
    </w:div>
    <w:div w:id="950360005">
      <w:bodyDiv w:val="1"/>
      <w:marLeft w:val="0"/>
      <w:marRight w:val="0"/>
      <w:marTop w:val="0"/>
      <w:marBottom w:val="0"/>
      <w:divBdr>
        <w:top w:val="none" w:sz="0" w:space="0" w:color="auto"/>
        <w:left w:val="none" w:sz="0" w:space="0" w:color="auto"/>
        <w:bottom w:val="none" w:sz="0" w:space="0" w:color="auto"/>
        <w:right w:val="none" w:sz="0" w:space="0" w:color="auto"/>
      </w:divBdr>
    </w:div>
    <w:div w:id="967274437">
      <w:bodyDiv w:val="1"/>
      <w:marLeft w:val="0"/>
      <w:marRight w:val="0"/>
      <w:marTop w:val="0"/>
      <w:marBottom w:val="0"/>
      <w:divBdr>
        <w:top w:val="none" w:sz="0" w:space="0" w:color="auto"/>
        <w:left w:val="none" w:sz="0" w:space="0" w:color="auto"/>
        <w:bottom w:val="none" w:sz="0" w:space="0" w:color="auto"/>
        <w:right w:val="none" w:sz="0" w:space="0" w:color="auto"/>
      </w:divBdr>
    </w:div>
    <w:div w:id="1000229473">
      <w:bodyDiv w:val="1"/>
      <w:marLeft w:val="0"/>
      <w:marRight w:val="0"/>
      <w:marTop w:val="0"/>
      <w:marBottom w:val="0"/>
      <w:divBdr>
        <w:top w:val="none" w:sz="0" w:space="0" w:color="auto"/>
        <w:left w:val="none" w:sz="0" w:space="0" w:color="auto"/>
        <w:bottom w:val="none" w:sz="0" w:space="0" w:color="auto"/>
        <w:right w:val="none" w:sz="0" w:space="0" w:color="auto"/>
      </w:divBdr>
    </w:div>
    <w:div w:id="1014649637">
      <w:bodyDiv w:val="1"/>
      <w:marLeft w:val="0"/>
      <w:marRight w:val="0"/>
      <w:marTop w:val="0"/>
      <w:marBottom w:val="0"/>
      <w:divBdr>
        <w:top w:val="none" w:sz="0" w:space="0" w:color="auto"/>
        <w:left w:val="none" w:sz="0" w:space="0" w:color="auto"/>
        <w:bottom w:val="none" w:sz="0" w:space="0" w:color="auto"/>
        <w:right w:val="none" w:sz="0" w:space="0" w:color="auto"/>
      </w:divBdr>
    </w:div>
    <w:div w:id="1017853077">
      <w:bodyDiv w:val="1"/>
      <w:marLeft w:val="0"/>
      <w:marRight w:val="0"/>
      <w:marTop w:val="0"/>
      <w:marBottom w:val="0"/>
      <w:divBdr>
        <w:top w:val="none" w:sz="0" w:space="0" w:color="auto"/>
        <w:left w:val="none" w:sz="0" w:space="0" w:color="auto"/>
        <w:bottom w:val="none" w:sz="0" w:space="0" w:color="auto"/>
        <w:right w:val="none" w:sz="0" w:space="0" w:color="auto"/>
      </w:divBdr>
    </w:div>
    <w:div w:id="1086534009">
      <w:bodyDiv w:val="1"/>
      <w:marLeft w:val="0"/>
      <w:marRight w:val="0"/>
      <w:marTop w:val="0"/>
      <w:marBottom w:val="0"/>
      <w:divBdr>
        <w:top w:val="none" w:sz="0" w:space="0" w:color="auto"/>
        <w:left w:val="none" w:sz="0" w:space="0" w:color="auto"/>
        <w:bottom w:val="none" w:sz="0" w:space="0" w:color="auto"/>
        <w:right w:val="none" w:sz="0" w:space="0" w:color="auto"/>
      </w:divBdr>
    </w:div>
    <w:div w:id="1351568340">
      <w:bodyDiv w:val="1"/>
      <w:marLeft w:val="0"/>
      <w:marRight w:val="0"/>
      <w:marTop w:val="0"/>
      <w:marBottom w:val="0"/>
      <w:divBdr>
        <w:top w:val="none" w:sz="0" w:space="0" w:color="auto"/>
        <w:left w:val="none" w:sz="0" w:space="0" w:color="auto"/>
        <w:bottom w:val="none" w:sz="0" w:space="0" w:color="auto"/>
        <w:right w:val="none" w:sz="0" w:space="0" w:color="auto"/>
      </w:divBdr>
    </w:div>
    <w:div w:id="1362053820">
      <w:bodyDiv w:val="1"/>
      <w:marLeft w:val="0"/>
      <w:marRight w:val="0"/>
      <w:marTop w:val="0"/>
      <w:marBottom w:val="0"/>
      <w:divBdr>
        <w:top w:val="none" w:sz="0" w:space="0" w:color="auto"/>
        <w:left w:val="none" w:sz="0" w:space="0" w:color="auto"/>
        <w:bottom w:val="none" w:sz="0" w:space="0" w:color="auto"/>
        <w:right w:val="none" w:sz="0" w:space="0" w:color="auto"/>
      </w:divBdr>
    </w:div>
    <w:div w:id="1421877502">
      <w:bodyDiv w:val="1"/>
      <w:marLeft w:val="0"/>
      <w:marRight w:val="0"/>
      <w:marTop w:val="0"/>
      <w:marBottom w:val="0"/>
      <w:divBdr>
        <w:top w:val="none" w:sz="0" w:space="0" w:color="auto"/>
        <w:left w:val="none" w:sz="0" w:space="0" w:color="auto"/>
        <w:bottom w:val="none" w:sz="0" w:space="0" w:color="auto"/>
        <w:right w:val="none" w:sz="0" w:space="0" w:color="auto"/>
      </w:divBdr>
    </w:div>
    <w:div w:id="1429809383">
      <w:bodyDiv w:val="1"/>
      <w:marLeft w:val="0"/>
      <w:marRight w:val="0"/>
      <w:marTop w:val="0"/>
      <w:marBottom w:val="0"/>
      <w:divBdr>
        <w:top w:val="none" w:sz="0" w:space="0" w:color="auto"/>
        <w:left w:val="none" w:sz="0" w:space="0" w:color="auto"/>
        <w:bottom w:val="none" w:sz="0" w:space="0" w:color="auto"/>
        <w:right w:val="none" w:sz="0" w:space="0" w:color="auto"/>
      </w:divBdr>
    </w:div>
    <w:div w:id="1441996506">
      <w:bodyDiv w:val="1"/>
      <w:marLeft w:val="0"/>
      <w:marRight w:val="0"/>
      <w:marTop w:val="0"/>
      <w:marBottom w:val="0"/>
      <w:divBdr>
        <w:top w:val="none" w:sz="0" w:space="0" w:color="auto"/>
        <w:left w:val="none" w:sz="0" w:space="0" w:color="auto"/>
        <w:bottom w:val="none" w:sz="0" w:space="0" w:color="auto"/>
        <w:right w:val="none" w:sz="0" w:space="0" w:color="auto"/>
      </w:divBdr>
    </w:div>
    <w:div w:id="1535918603">
      <w:bodyDiv w:val="1"/>
      <w:marLeft w:val="0"/>
      <w:marRight w:val="0"/>
      <w:marTop w:val="0"/>
      <w:marBottom w:val="0"/>
      <w:divBdr>
        <w:top w:val="none" w:sz="0" w:space="0" w:color="auto"/>
        <w:left w:val="none" w:sz="0" w:space="0" w:color="auto"/>
        <w:bottom w:val="none" w:sz="0" w:space="0" w:color="auto"/>
        <w:right w:val="none" w:sz="0" w:space="0" w:color="auto"/>
      </w:divBdr>
    </w:div>
    <w:div w:id="1600331247">
      <w:bodyDiv w:val="1"/>
      <w:marLeft w:val="0"/>
      <w:marRight w:val="0"/>
      <w:marTop w:val="0"/>
      <w:marBottom w:val="0"/>
      <w:divBdr>
        <w:top w:val="none" w:sz="0" w:space="0" w:color="auto"/>
        <w:left w:val="none" w:sz="0" w:space="0" w:color="auto"/>
        <w:bottom w:val="none" w:sz="0" w:space="0" w:color="auto"/>
        <w:right w:val="none" w:sz="0" w:space="0" w:color="auto"/>
      </w:divBdr>
    </w:div>
    <w:div w:id="1654867429">
      <w:bodyDiv w:val="1"/>
      <w:marLeft w:val="0"/>
      <w:marRight w:val="0"/>
      <w:marTop w:val="0"/>
      <w:marBottom w:val="0"/>
      <w:divBdr>
        <w:top w:val="none" w:sz="0" w:space="0" w:color="auto"/>
        <w:left w:val="none" w:sz="0" w:space="0" w:color="auto"/>
        <w:bottom w:val="none" w:sz="0" w:space="0" w:color="auto"/>
        <w:right w:val="none" w:sz="0" w:space="0" w:color="auto"/>
      </w:divBdr>
    </w:div>
    <w:div w:id="1665355739">
      <w:bodyDiv w:val="1"/>
      <w:marLeft w:val="0"/>
      <w:marRight w:val="0"/>
      <w:marTop w:val="0"/>
      <w:marBottom w:val="0"/>
      <w:divBdr>
        <w:top w:val="none" w:sz="0" w:space="0" w:color="auto"/>
        <w:left w:val="none" w:sz="0" w:space="0" w:color="auto"/>
        <w:bottom w:val="none" w:sz="0" w:space="0" w:color="auto"/>
        <w:right w:val="none" w:sz="0" w:space="0" w:color="auto"/>
      </w:divBdr>
    </w:div>
    <w:div w:id="1697729112">
      <w:bodyDiv w:val="1"/>
      <w:marLeft w:val="0"/>
      <w:marRight w:val="0"/>
      <w:marTop w:val="0"/>
      <w:marBottom w:val="0"/>
      <w:divBdr>
        <w:top w:val="none" w:sz="0" w:space="0" w:color="auto"/>
        <w:left w:val="none" w:sz="0" w:space="0" w:color="auto"/>
        <w:bottom w:val="none" w:sz="0" w:space="0" w:color="auto"/>
        <w:right w:val="none" w:sz="0" w:space="0" w:color="auto"/>
      </w:divBdr>
    </w:div>
    <w:div w:id="1709408187">
      <w:bodyDiv w:val="1"/>
      <w:marLeft w:val="0"/>
      <w:marRight w:val="0"/>
      <w:marTop w:val="0"/>
      <w:marBottom w:val="0"/>
      <w:divBdr>
        <w:top w:val="none" w:sz="0" w:space="0" w:color="auto"/>
        <w:left w:val="none" w:sz="0" w:space="0" w:color="auto"/>
        <w:bottom w:val="none" w:sz="0" w:space="0" w:color="auto"/>
        <w:right w:val="none" w:sz="0" w:space="0" w:color="auto"/>
      </w:divBdr>
    </w:div>
    <w:div w:id="1744336079">
      <w:bodyDiv w:val="1"/>
      <w:marLeft w:val="0"/>
      <w:marRight w:val="0"/>
      <w:marTop w:val="0"/>
      <w:marBottom w:val="0"/>
      <w:divBdr>
        <w:top w:val="none" w:sz="0" w:space="0" w:color="auto"/>
        <w:left w:val="none" w:sz="0" w:space="0" w:color="auto"/>
        <w:bottom w:val="none" w:sz="0" w:space="0" w:color="auto"/>
        <w:right w:val="none" w:sz="0" w:space="0" w:color="auto"/>
      </w:divBdr>
    </w:div>
    <w:div w:id="1768580350">
      <w:bodyDiv w:val="1"/>
      <w:marLeft w:val="0"/>
      <w:marRight w:val="0"/>
      <w:marTop w:val="0"/>
      <w:marBottom w:val="0"/>
      <w:divBdr>
        <w:top w:val="none" w:sz="0" w:space="0" w:color="auto"/>
        <w:left w:val="none" w:sz="0" w:space="0" w:color="auto"/>
        <w:bottom w:val="none" w:sz="0" w:space="0" w:color="auto"/>
        <w:right w:val="none" w:sz="0" w:space="0" w:color="auto"/>
      </w:divBdr>
    </w:div>
    <w:div w:id="1817644866">
      <w:bodyDiv w:val="1"/>
      <w:marLeft w:val="0"/>
      <w:marRight w:val="0"/>
      <w:marTop w:val="0"/>
      <w:marBottom w:val="0"/>
      <w:divBdr>
        <w:top w:val="none" w:sz="0" w:space="0" w:color="auto"/>
        <w:left w:val="none" w:sz="0" w:space="0" w:color="auto"/>
        <w:bottom w:val="none" w:sz="0" w:space="0" w:color="auto"/>
        <w:right w:val="none" w:sz="0" w:space="0" w:color="auto"/>
      </w:divBdr>
    </w:div>
    <w:div w:id="1829469513">
      <w:bodyDiv w:val="1"/>
      <w:marLeft w:val="0"/>
      <w:marRight w:val="0"/>
      <w:marTop w:val="0"/>
      <w:marBottom w:val="0"/>
      <w:divBdr>
        <w:top w:val="none" w:sz="0" w:space="0" w:color="auto"/>
        <w:left w:val="none" w:sz="0" w:space="0" w:color="auto"/>
        <w:bottom w:val="none" w:sz="0" w:space="0" w:color="auto"/>
        <w:right w:val="none" w:sz="0" w:space="0" w:color="auto"/>
      </w:divBdr>
    </w:div>
    <w:div w:id="1842547810">
      <w:bodyDiv w:val="1"/>
      <w:marLeft w:val="0"/>
      <w:marRight w:val="0"/>
      <w:marTop w:val="0"/>
      <w:marBottom w:val="0"/>
      <w:divBdr>
        <w:top w:val="none" w:sz="0" w:space="0" w:color="auto"/>
        <w:left w:val="none" w:sz="0" w:space="0" w:color="auto"/>
        <w:bottom w:val="none" w:sz="0" w:space="0" w:color="auto"/>
        <w:right w:val="none" w:sz="0" w:space="0" w:color="auto"/>
      </w:divBdr>
    </w:div>
    <w:div w:id="1849978416">
      <w:bodyDiv w:val="1"/>
      <w:marLeft w:val="0"/>
      <w:marRight w:val="0"/>
      <w:marTop w:val="0"/>
      <w:marBottom w:val="0"/>
      <w:divBdr>
        <w:top w:val="none" w:sz="0" w:space="0" w:color="auto"/>
        <w:left w:val="none" w:sz="0" w:space="0" w:color="auto"/>
        <w:bottom w:val="none" w:sz="0" w:space="0" w:color="auto"/>
        <w:right w:val="none" w:sz="0" w:space="0" w:color="auto"/>
      </w:divBdr>
    </w:div>
    <w:div w:id="1940143030">
      <w:bodyDiv w:val="1"/>
      <w:marLeft w:val="0"/>
      <w:marRight w:val="0"/>
      <w:marTop w:val="0"/>
      <w:marBottom w:val="0"/>
      <w:divBdr>
        <w:top w:val="none" w:sz="0" w:space="0" w:color="auto"/>
        <w:left w:val="none" w:sz="0" w:space="0" w:color="auto"/>
        <w:bottom w:val="none" w:sz="0" w:space="0" w:color="auto"/>
        <w:right w:val="none" w:sz="0" w:space="0" w:color="auto"/>
      </w:divBdr>
    </w:div>
    <w:div w:id="1973778827">
      <w:bodyDiv w:val="1"/>
      <w:marLeft w:val="0"/>
      <w:marRight w:val="0"/>
      <w:marTop w:val="0"/>
      <w:marBottom w:val="0"/>
      <w:divBdr>
        <w:top w:val="none" w:sz="0" w:space="0" w:color="auto"/>
        <w:left w:val="none" w:sz="0" w:space="0" w:color="auto"/>
        <w:bottom w:val="none" w:sz="0" w:space="0" w:color="auto"/>
        <w:right w:val="none" w:sz="0" w:space="0" w:color="auto"/>
      </w:divBdr>
    </w:div>
    <w:div w:id="2056463747">
      <w:bodyDiv w:val="1"/>
      <w:marLeft w:val="0"/>
      <w:marRight w:val="0"/>
      <w:marTop w:val="0"/>
      <w:marBottom w:val="0"/>
      <w:divBdr>
        <w:top w:val="none" w:sz="0" w:space="0" w:color="auto"/>
        <w:left w:val="none" w:sz="0" w:space="0" w:color="auto"/>
        <w:bottom w:val="none" w:sz="0" w:space="0" w:color="auto"/>
        <w:right w:val="none" w:sz="0" w:space="0" w:color="auto"/>
      </w:divBdr>
    </w:div>
    <w:div w:id="2071147723">
      <w:bodyDiv w:val="1"/>
      <w:marLeft w:val="0"/>
      <w:marRight w:val="0"/>
      <w:marTop w:val="0"/>
      <w:marBottom w:val="0"/>
      <w:divBdr>
        <w:top w:val="none" w:sz="0" w:space="0" w:color="auto"/>
        <w:left w:val="none" w:sz="0" w:space="0" w:color="auto"/>
        <w:bottom w:val="none" w:sz="0" w:space="0" w:color="auto"/>
        <w:right w:val="none" w:sz="0" w:space="0" w:color="auto"/>
      </w:divBdr>
    </w:div>
    <w:div w:id="2085100460">
      <w:bodyDiv w:val="1"/>
      <w:marLeft w:val="0"/>
      <w:marRight w:val="0"/>
      <w:marTop w:val="0"/>
      <w:marBottom w:val="0"/>
      <w:divBdr>
        <w:top w:val="none" w:sz="0" w:space="0" w:color="auto"/>
        <w:left w:val="none" w:sz="0" w:space="0" w:color="auto"/>
        <w:bottom w:val="none" w:sz="0" w:space="0" w:color="auto"/>
        <w:right w:val="none" w:sz="0" w:space="0" w:color="auto"/>
      </w:divBdr>
    </w:div>
    <w:div w:id="2099665993">
      <w:bodyDiv w:val="1"/>
      <w:marLeft w:val="0"/>
      <w:marRight w:val="0"/>
      <w:marTop w:val="0"/>
      <w:marBottom w:val="0"/>
      <w:divBdr>
        <w:top w:val="none" w:sz="0" w:space="0" w:color="auto"/>
        <w:left w:val="none" w:sz="0" w:space="0" w:color="auto"/>
        <w:bottom w:val="none" w:sz="0" w:space="0" w:color="auto"/>
        <w:right w:val="none" w:sz="0" w:space="0" w:color="auto"/>
      </w:divBdr>
    </w:div>
    <w:div w:id="21098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fronieva@is-bg.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A94E3-890C-443C-BF51-434EA01C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Information Services plc.</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Десислава Маколиф</cp:lastModifiedBy>
  <cp:revision>2</cp:revision>
  <cp:lastPrinted>2019-03-21T09:46:00Z</cp:lastPrinted>
  <dcterms:created xsi:type="dcterms:W3CDTF">2019-03-28T08:52:00Z</dcterms:created>
  <dcterms:modified xsi:type="dcterms:W3CDTF">2019-03-28T08:52:00Z</dcterms:modified>
</cp:coreProperties>
</file>