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9384" w14:textId="77777777" w:rsidR="008D05B0" w:rsidRPr="00BB6682" w:rsidRDefault="008D05B0" w:rsidP="008D05B0">
      <w:pPr>
        <w:spacing w:after="200"/>
        <w:ind w:left="7068" w:firstLine="0"/>
        <w:contextualSpacing/>
        <w:rPr>
          <w:rFonts w:cs="Arial"/>
          <w:b/>
          <w:bCs/>
          <w:szCs w:val="24"/>
        </w:rPr>
      </w:pPr>
      <w:r w:rsidRPr="00BB6682">
        <w:rPr>
          <w:rFonts w:cs="Arial"/>
          <w:b/>
          <w:bCs/>
          <w:szCs w:val="24"/>
        </w:rPr>
        <w:t>Приложение № 3</w:t>
      </w:r>
    </w:p>
    <w:p w14:paraId="604FEDBE" w14:textId="77777777" w:rsidR="008D05B0" w:rsidRPr="00BB6682" w:rsidRDefault="008D05B0" w:rsidP="008D05B0">
      <w:pPr>
        <w:spacing w:after="0" w:line="240" w:lineRule="auto"/>
        <w:ind w:left="7068" w:firstLine="20"/>
        <w:rPr>
          <w:rFonts w:cs="Arial"/>
          <w:b/>
          <w:bCs/>
          <w:szCs w:val="24"/>
        </w:rPr>
      </w:pPr>
      <w:r w:rsidRPr="00BB6682">
        <w:rPr>
          <w:rFonts w:cs="Arial"/>
          <w:b/>
          <w:bCs/>
          <w:szCs w:val="24"/>
        </w:rPr>
        <w:t>Образец</w:t>
      </w:r>
    </w:p>
    <w:p w14:paraId="7560741A" w14:textId="77777777" w:rsidR="008D05B0" w:rsidRPr="00BB6682" w:rsidRDefault="008D05B0" w:rsidP="008D05B0">
      <w:pPr>
        <w:spacing w:after="0" w:line="360" w:lineRule="auto"/>
        <w:rPr>
          <w:rFonts w:cs="Arial"/>
          <w:b/>
          <w:szCs w:val="24"/>
        </w:rPr>
      </w:pPr>
      <w:r w:rsidRPr="00BB6682">
        <w:rPr>
          <w:rFonts w:cs="Arial"/>
          <w:b/>
          <w:bCs/>
          <w:szCs w:val="24"/>
        </w:rPr>
        <w:t xml:space="preserve">ДО </w:t>
      </w:r>
    </w:p>
    <w:p w14:paraId="105300BC" w14:textId="77777777" w:rsidR="008D05B0" w:rsidRPr="00BB6682" w:rsidRDefault="008D05B0" w:rsidP="008D05B0">
      <w:pPr>
        <w:spacing w:after="0" w:line="360" w:lineRule="auto"/>
        <w:rPr>
          <w:rFonts w:cs="Arial"/>
          <w:b/>
          <w:bCs/>
          <w:szCs w:val="24"/>
        </w:rPr>
      </w:pPr>
      <w:r w:rsidRPr="00BB6682">
        <w:rPr>
          <w:rFonts w:cs="Arial"/>
          <w:b/>
          <w:bCs/>
          <w:szCs w:val="24"/>
        </w:rPr>
        <w:t>„ИНФОРМАЦИОННО ОБСЛУЖВАНЕ“ АД</w:t>
      </w:r>
    </w:p>
    <w:p w14:paraId="5B4FE65D" w14:textId="77777777" w:rsidR="008D05B0" w:rsidRPr="00BB6682" w:rsidRDefault="008D05B0" w:rsidP="008D05B0">
      <w:pPr>
        <w:spacing w:after="0" w:line="360" w:lineRule="auto"/>
        <w:rPr>
          <w:rFonts w:cs="Arial"/>
          <w:b/>
          <w:szCs w:val="24"/>
        </w:rPr>
      </w:pPr>
      <w:r w:rsidRPr="00BB6682">
        <w:rPr>
          <w:rFonts w:cs="Arial"/>
          <w:b/>
          <w:bCs/>
          <w:szCs w:val="24"/>
        </w:rPr>
        <w:t>УЛ. „ПАНАЙОТ ВОЛОВ“ № 2</w:t>
      </w:r>
    </w:p>
    <w:p w14:paraId="23457539" w14:textId="77777777" w:rsidR="008D05B0" w:rsidRPr="00BB6682" w:rsidRDefault="008D05B0" w:rsidP="008D05B0">
      <w:pPr>
        <w:spacing w:after="0" w:line="360" w:lineRule="auto"/>
        <w:rPr>
          <w:rFonts w:cs="Arial"/>
          <w:b/>
          <w:bCs/>
          <w:szCs w:val="24"/>
        </w:rPr>
      </w:pPr>
      <w:r w:rsidRPr="00BB6682">
        <w:rPr>
          <w:rFonts w:cs="Arial"/>
          <w:b/>
          <w:bCs/>
          <w:szCs w:val="24"/>
        </w:rPr>
        <w:t>ГР. СОФИЯ</w:t>
      </w:r>
    </w:p>
    <w:p w14:paraId="3AAED3B7" w14:textId="77777777" w:rsidR="008D05B0" w:rsidRPr="00BB6682" w:rsidRDefault="008D05B0" w:rsidP="008D05B0">
      <w:pPr>
        <w:spacing w:after="0" w:line="360" w:lineRule="auto"/>
        <w:ind w:firstLine="4680"/>
        <w:rPr>
          <w:rFonts w:cs="Arial"/>
          <w:szCs w:val="24"/>
        </w:rPr>
      </w:pPr>
    </w:p>
    <w:p w14:paraId="5FFCDC4F" w14:textId="77777777" w:rsidR="008D05B0" w:rsidRPr="00BB6682" w:rsidRDefault="008D05B0" w:rsidP="008D05B0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[наименование на участника],</w:t>
      </w:r>
    </w:p>
    <w:p w14:paraId="029CB1D2" w14:textId="77777777" w:rsidR="008D05B0" w:rsidRPr="00BB6682" w:rsidRDefault="008D05B0" w:rsidP="008D05B0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505E8713" w14:textId="77777777" w:rsidR="008D05B0" w:rsidRPr="00BB6682" w:rsidRDefault="008D05B0" w:rsidP="008D05B0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с ЕИК […], със седалище […] и адрес на управление […],</w:t>
      </w:r>
    </w:p>
    <w:p w14:paraId="5570D02D" w14:textId="77777777" w:rsidR="008D05B0" w:rsidRPr="00BB6682" w:rsidRDefault="008D05B0" w:rsidP="008D05B0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адрес за кореспонденция: […],</w:t>
      </w:r>
    </w:p>
    <w:p w14:paraId="63EF2AE2" w14:textId="77777777" w:rsidR="008D05B0" w:rsidRPr="00BB6682" w:rsidRDefault="008D05B0" w:rsidP="008D05B0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банкови сметки: […]</w:t>
      </w:r>
    </w:p>
    <w:p w14:paraId="694D0674" w14:textId="77777777" w:rsidR="008D05B0" w:rsidRPr="00BB6682" w:rsidRDefault="008D05B0" w:rsidP="008D05B0">
      <w:pPr>
        <w:spacing w:after="0" w:line="360" w:lineRule="auto"/>
        <w:rPr>
          <w:rFonts w:cs="Arial"/>
          <w:b/>
          <w:szCs w:val="24"/>
        </w:rPr>
      </w:pPr>
    </w:p>
    <w:p w14:paraId="4AFD6EA0" w14:textId="77777777" w:rsidR="008D05B0" w:rsidRPr="00BB6682" w:rsidRDefault="008D05B0" w:rsidP="008D05B0">
      <w:pPr>
        <w:spacing w:after="0" w:line="360" w:lineRule="auto"/>
        <w:jc w:val="center"/>
        <w:rPr>
          <w:rFonts w:cs="Arial"/>
          <w:b/>
          <w:szCs w:val="24"/>
        </w:rPr>
      </w:pPr>
      <w:r w:rsidRPr="00BB6682">
        <w:rPr>
          <w:rFonts w:cs="Arial"/>
          <w:b/>
          <w:szCs w:val="24"/>
        </w:rPr>
        <w:t>ТЕХНИЧЕСКО ПРЕДЛОЖЕНИЕ</w:t>
      </w:r>
    </w:p>
    <w:p w14:paraId="7789CBD6" w14:textId="77777777" w:rsidR="008D05B0" w:rsidRPr="00BB6682" w:rsidRDefault="008D05B0" w:rsidP="008D05B0">
      <w:pPr>
        <w:tabs>
          <w:tab w:val="left" w:pos="1701"/>
        </w:tabs>
        <w:spacing w:after="0" w:line="360" w:lineRule="auto"/>
        <w:jc w:val="center"/>
        <w:rPr>
          <w:rFonts w:cs="Arial"/>
          <w:szCs w:val="24"/>
        </w:rPr>
      </w:pPr>
      <w:r w:rsidRPr="00BB6682">
        <w:rPr>
          <w:rFonts w:cs="Arial"/>
          <w:szCs w:val="24"/>
        </w:rPr>
        <w:t xml:space="preserve">за </w:t>
      </w:r>
    </w:p>
    <w:p w14:paraId="7C5DB72A" w14:textId="77777777" w:rsidR="008D05B0" w:rsidRPr="00BB6682" w:rsidRDefault="008D05B0" w:rsidP="008D05B0">
      <w:pPr>
        <w:tabs>
          <w:tab w:val="left" w:pos="1701"/>
        </w:tabs>
        <w:spacing w:after="0" w:line="360" w:lineRule="auto"/>
        <w:jc w:val="center"/>
        <w:rPr>
          <w:rFonts w:cs="Arial"/>
          <w:szCs w:val="24"/>
        </w:rPr>
      </w:pPr>
      <w:r w:rsidRPr="00BB6682">
        <w:rPr>
          <w:rFonts w:cs="Arial"/>
          <w:szCs w:val="24"/>
        </w:rPr>
        <w:t>участие в процедура за избор на доставчик с предмет:</w:t>
      </w:r>
    </w:p>
    <w:p w14:paraId="3248D226" w14:textId="77777777" w:rsidR="008D05B0" w:rsidRPr="00BB6682" w:rsidRDefault="008D05B0" w:rsidP="008D05B0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eastAsia="PMingLiU" w:cs="Arial"/>
          <w:b/>
          <w:bCs/>
          <w:szCs w:val="24"/>
          <w:lang w:eastAsia="bg-BG"/>
        </w:rPr>
      </w:pPr>
      <w:r w:rsidRPr="00BB6682">
        <w:rPr>
          <w:rFonts w:eastAsia="PMingLiU" w:cs="Arial"/>
          <w:b/>
          <w:bCs/>
          <w:szCs w:val="24"/>
          <w:lang w:eastAsia="bg-BG"/>
        </w:rPr>
        <w:t>„Закупуване на нови системи за архивни копия за нуждите на „Информационно обслужване“ АД“</w:t>
      </w:r>
    </w:p>
    <w:p w14:paraId="2EB2DA71" w14:textId="77777777" w:rsidR="008D05B0" w:rsidRPr="00BB6682" w:rsidRDefault="008D05B0" w:rsidP="008D05B0">
      <w:pPr>
        <w:tabs>
          <w:tab w:val="left" w:pos="1701"/>
        </w:tabs>
        <w:spacing w:after="0" w:line="360" w:lineRule="auto"/>
        <w:rPr>
          <w:rFonts w:cs="Arial"/>
          <w:szCs w:val="24"/>
        </w:rPr>
      </w:pPr>
    </w:p>
    <w:p w14:paraId="1E72E457" w14:textId="77777777" w:rsidR="008D05B0" w:rsidRPr="00BB6682" w:rsidRDefault="008D05B0" w:rsidP="008D05B0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След като се запознахме с поканата за участие, с настоящото техническо предложение правим следните обвързващи предложения:</w:t>
      </w:r>
    </w:p>
    <w:p w14:paraId="38AE956E" w14:textId="77777777" w:rsidR="008D05B0" w:rsidRPr="00BB6682" w:rsidRDefault="008D05B0" w:rsidP="008D05B0">
      <w:pPr>
        <w:numPr>
          <w:ilvl w:val="0"/>
          <w:numId w:val="1"/>
        </w:numPr>
        <w:tabs>
          <w:tab w:val="left" w:pos="1701"/>
        </w:tabs>
        <w:spacing w:after="0" w:line="360" w:lineRule="auto"/>
        <w:ind w:left="0" w:firstLine="426"/>
        <w:rPr>
          <w:rFonts w:cs="Arial"/>
          <w:szCs w:val="24"/>
        </w:rPr>
      </w:pPr>
      <w:r w:rsidRPr="00BB6682">
        <w:rPr>
          <w:rFonts w:cs="Arial"/>
          <w:szCs w:val="24"/>
        </w:rPr>
        <w:t xml:space="preserve">Приемаме да изпълним доставката на системи за архивни копия в срок от ……………………………… календарни дни  (не повече от 60 календарни дни), считано от датата на сключване на договора. </w:t>
      </w:r>
    </w:p>
    <w:p w14:paraId="1CA75CCD" w14:textId="77777777" w:rsidR="008D05B0" w:rsidRPr="00BB6682" w:rsidRDefault="008D05B0" w:rsidP="008D05B0">
      <w:pPr>
        <w:numPr>
          <w:ilvl w:val="0"/>
          <w:numId w:val="1"/>
        </w:numPr>
        <w:spacing w:line="360" w:lineRule="auto"/>
        <w:ind w:left="0" w:firstLine="426"/>
        <w:rPr>
          <w:rFonts w:cs="Arial"/>
          <w:szCs w:val="24"/>
        </w:rPr>
      </w:pPr>
      <w:r w:rsidRPr="00BB6682">
        <w:rPr>
          <w:rFonts w:cs="Arial"/>
          <w:szCs w:val="24"/>
        </w:rPr>
        <w:t xml:space="preserve">Приемаме да изпълним доставката </w:t>
      </w:r>
      <w:r>
        <w:rPr>
          <w:rFonts w:cs="Arial"/>
          <w:szCs w:val="24"/>
        </w:rPr>
        <w:t xml:space="preserve">- </w:t>
      </w:r>
      <w:r w:rsidRPr="00BB6682">
        <w:rPr>
          <w:rFonts w:cs="Arial"/>
          <w:szCs w:val="24"/>
        </w:rPr>
        <w:t>предмет на настоящата процедура, така както е описано в Техническото задание</w:t>
      </w:r>
      <w:r w:rsidRPr="00BB6682">
        <w:t xml:space="preserve"> </w:t>
      </w:r>
      <w:r w:rsidRPr="00BB6682">
        <w:rPr>
          <w:rFonts w:cs="Arial"/>
          <w:szCs w:val="24"/>
        </w:rPr>
        <w:t>с Количествена и техническа спецификация (Приложение №1</w:t>
      </w:r>
      <w:r>
        <w:rPr>
          <w:rFonts w:cs="Arial"/>
          <w:szCs w:val="24"/>
        </w:rPr>
        <w:t xml:space="preserve"> към поканата за участие</w:t>
      </w:r>
      <w:r w:rsidRPr="00BB6682">
        <w:rPr>
          <w:rFonts w:cs="Arial"/>
          <w:szCs w:val="24"/>
        </w:rPr>
        <w:t>), съгласно изискванията и параметрите, посочени в него.</w:t>
      </w:r>
    </w:p>
    <w:p w14:paraId="5B9FF505" w14:textId="77777777" w:rsidR="008D05B0" w:rsidRPr="00BB6682" w:rsidRDefault="008D05B0" w:rsidP="008D05B0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BB6682">
        <w:rPr>
          <w:rFonts w:cs="Arial"/>
          <w:szCs w:val="24"/>
        </w:rPr>
        <w:lastRenderedPageBreak/>
        <w:t>Приемаме да изпълним доставката на системите</w:t>
      </w:r>
      <w:r>
        <w:rPr>
          <w:rFonts w:cs="Arial"/>
          <w:szCs w:val="24"/>
        </w:rPr>
        <w:t>,</w:t>
      </w:r>
      <w:r w:rsidRPr="00BB6682">
        <w:rPr>
          <w:rFonts w:cs="Arial"/>
          <w:szCs w:val="24"/>
        </w:rPr>
        <w:t xml:space="preserve"> съгласно всички изисквания на Възложителя, посочени в поканата за участие в настоящата процедура.</w:t>
      </w:r>
    </w:p>
    <w:p w14:paraId="2287A4C6" w14:textId="77777777" w:rsidR="008D05B0" w:rsidRPr="00BB6682" w:rsidRDefault="008D05B0" w:rsidP="008D05B0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BB6682">
        <w:rPr>
          <w:rFonts w:cs="Arial"/>
          <w:szCs w:val="24"/>
        </w:rPr>
        <w:t>Техническото предложение е със срок на валидност ……………… календарни дни (не по – малко от  60 /шестдесет/ календарни дни)</w:t>
      </w:r>
      <w:r w:rsidRPr="00BB6682">
        <w:rPr>
          <w:rFonts w:cs="Arial"/>
          <w:i/>
          <w:szCs w:val="24"/>
        </w:rPr>
        <w:t>.</w:t>
      </w:r>
    </w:p>
    <w:p w14:paraId="48C8FF3E" w14:textId="77777777" w:rsidR="008D05B0" w:rsidRPr="00BB6682" w:rsidRDefault="008D05B0" w:rsidP="008D05B0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BB6682">
        <w:rPr>
          <w:rFonts w:cs="Arial"/>
          <w:szCs w:val="24"/>
        </w:rPr>
        <w:t>Приемаме при установени липси и/или констатирани явни или скрити дефекти при доставка, след съставяне и подписване на констативен протокол, констатираните по този начин отклонения и недостатъци, да се поправят/ подменят от нас и за наша сметка.</w:t>
      </w:r>
    </w:p>
    <w:p w14:paraId="61F4DA05" w14:textId="77777777" w:rsidR="008D05B0" w:rsidRPr="00BB6682" w:rsidRDefault="008D05B0" w:rsidP="008D05B0">
      <w:pPr>
        <w:numPr>
          <w:ilvl w:val="0"/>
          <w:numId w:val="1"/>
        </w:numPr>
        <w:spacing w:line="360" w:lineRule="auto"/>
        <w:ind w:left="0" w:firstLine="425"/>
        <w:rPr>
          <w:szCs w:val="24"/>
          <w:lang w:eastAsia="bg-BG"/>
        </w:rPr>
      </w:pPr>
      <w:r w:rsidRPr="00BB6682">
        <w:rPr>
          <w:szCs w:val="24"/>
          <w:lang w:eastAsia="bg-BG"/>
        </w:rPr>
        <w:t>Декларираме, че при извършване на възложените дейности, ще се спазват всички изисквания съгласно действащото законодателство.</w:t>
      </w:r>
      <w:r w:rsidRPr="00BB6682">
        <w:rPr>
          <w:rFonts w:ascii="Arial" w:hAnsi="Arial" w:cs="Arial"/>
          <w:color w:val="000000"/>
          <w:szCs w:val="24"/>
          <w:lang w:eastAsia="bg-BG"/>
        </w:rPr>
        <w:t xml:space="preserve"> </w:t>
      </w:r>
    </w:p>
    <w:p w14:paraId="095CCC42" w14:textId="77777777" w:rsidR="008D05B0" w:rsidRPr="00BB6682" w:rsidRDefault="008D05B0" w:rsidP="008D05B0">
      <w:pPr>
        <w:numPr>
          <w:ilvl w:val="0"/>
          <w:numId w:val="1"/>
        </w:numPr>
        <w:spacing w:line="360" w:lineRule="auto"/>
        <w:ind w:left="0" w:firstLine="425"/>
        <w:rPr>
          <w:szCs w:val="24"/>
          <w:lang w:eastAsia="bg-BG"/>
        </w:rPr>
      </w:pPr>
      <w:r w:rsidRPr="00BB6682">
        <w:rPr>
          <w:szCs w:val="24"/>
          <w:lang w:eastAsia="bg-BG"/>
        </w:rPr>
        <w:t xml:space="preserve">Приемаме, при дефект в </w:t>
      </w:r>
      <w:r>
        <w:rPr>
          <w:szCs w:val="24"/>
          <w:lang w:eastAsia="bg-BG"/>
        </w:rPr>
        <w:t xml:space="preserve">доставена </w:t>
      </w:r>
      <w:r w:rsidRPr="00BB6682">
        <w:rPr>
          <w:szCs w:val="24"/>
          <w:lang w:eastAsia="bg-BG"/>
        </w:rPr>
        <w:t>си</w:t>
      </w:r>
      <w:r>
        <w:rPr>
          <w:szCs w:val="24"/>
          <w:lang w:eastAsia="bg-BG"/>
        </w:rPr>
        <w:t>с</w:t>
      </w:r>
      <w:r w:rsidRPr="00BB6682">
        <w:rPr>
          <w:szCs w:val="24"/>
          <w:lang w:eastAsia="bg-BG"/>
        </w:rPr>
        <w:t xml:space="preserve">тема и/или неин модул, да извършим подмяна с друго оборудване (модул) със същите или по-добри параметри. </w:t>
      </w:r>
      <w:r w:rsidRPr="00BB6682">
        <w:rPr>
          <w:rFonts w:ascii="Times New Roman" w:hAnsi="Times New Roman"/>
          <w:color w:val="000000"/>
          <w:szCs w:val="24"/>
          <w:lang w:eastAsia="bg-BG"/>
        </w:rPr>
        <w:t xml:space="preserve"> </w:t>
      </w:r>
    </w:p>
    <w:p w14:paraId="4814BCAB" w14:textId="77777777" w:rsidR="008D05B0" w:rsidRPr="00BB6682" w:rsidRDefault="008D05B0" w:rsidP="008D05B0">
      <w:pPr>
        <w:numPr>
          <w:ilvl w:val="0"/>
          <w:numId w:val="1"/>
        </w:numPr>
        <w:spacing w:line="360" w:lineRule="auto"/>
        <w:rPr>
          <w:szCs w:val="24"/>
          <w:lang w:eastAsia="bg-BG"/>
        </w:rPr>
      </w:pPr>
      <w:r w:rsidRPr="00BB6682">
        <w:rPr>
          <w:szCs w:val="24"/>
          <w:lang w:eastAsia="bg-BG"/>
        </w:rPr>
        <w:t>Приемаме да доставим система за архивни копия със следната спецификация: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22"/>
        <w:gridCol w:w="3565"/>
      </w:tblGrid>
      <w:tr w:rsidR="008D05B0" w:rsidRPr="00936795" w14:paraId="0535F6CB" w14:textId="77777777" w:rsidTr="004138E5">
        <w:tc>
          <w:tcPr>
            <w:tcW w:w="5723" w:type="dxa"/>
            <w:gridSpan w:val="2"/>
            <w:shd w:val="clear" w:color="auto" w:fill="auto"/>
          </w:tcPr>
          <w:p w14:paraId="5E96CAE7" w14:textId="77777777" w:rsidR="008D05B0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936795">
              <w:rPr>
                <w:rFonts w:eastAsia="Calibri" w:cs="Calibri"/>
                <w:szCs w:val="24"/>
              </w:rPr>
              <w:t xml:space="preserve">Изисквания на Възложителя към </w:t>
            </w:r>
          </w:p>
          <w:p w14:paraId="59F2F781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ind w:left="426" w:hanging="29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Специализирано решение за управление на резервни </w:t>
            </w:r>
            <w:r>
              <w:rPr>
                <w:rFonts w:eastAsia="Calibri" w:cs="Calibri"/>
                <w:szCs w:val="24"/>
              </w:rPr>
              <w:t xml:space="preserve">    </w:t>
            </w:r>
            <w:r w:rsidRPr="00FF4662">
              <w:rPr>
                <w:rFonts w:eastAsia="Calibri" w:cs="Calibri"/>
                <w:szCs w:val="24"/>
              </w:rPr>
              <w:t xml:space="preserve">копия </w:t>
            </w:r>
            <w:r w:rsidRPr="00936795">
              <w:rPr>
                <w:rFonts w:eastAsia="Calibri" w:cs="Calibri"/>
                <w:szCs w:val="24"/>
              </w:rPr>
              <w:t xml:space="preserve">- </w:t>
            </w:r>
            <w:proofErr w:type="spellStart"/>
            <w:r w:rsidRPr="00FF4662">
              <w:rPr>
                <w:rFonts w:eastAsia="Calibri" w:cs="Calibri"/>
                <w:szCs w:val="24"/>
              </w:rPr>
              <w:t>Controller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DD9400, 240TB - 2 броя</w:t>
            </w:r>
          </w:p>
        </w:tc>
        <w:tc>
          <w:tcPr>
            <w:tcW w:w="3565" w:type="dxa"/>
            <w:shd w:val="clear" w:color="auto" w:fill="auto"/>
          </w:tcPr>
          <w:p w14:paraId="590DE5CE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  <w:r w:rsidRPr="00936795">
              <w:rPr>
                <w:rFonts w:eastAsia="Calibri" w:cs="Calibri"/>
                <w:sz w:val="22"/>
                <w:szCs w:val="24"/>
              </w:rPr>
              <w:t>Предложение на Участника</w:t>
            </w:r>
          </w:p>
        </w:tc>
      </w:tr>
      <w:tr w:rsidR="008D05B0" w:rsidRPr="00936795" w14:paraId="5E700083" w14:textId="77777777" w:rsidTr="004138E5">
        <w:tc>
          <w:tcPr>
            <w:tcW w:w="1101" w:type="dxa"/>
            <w:shd w:val="clear" w:color="auto" w:fill="auto"/>
          </w:tcPr>
          <w:p w14:paraId="02496CE4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</w:t>
            </w:r>
          </w:p>
        </w:tc>
        <w:tc>
          <w:tcPr>
            <w:tcW w:w="4622" w:type="dxa"/>
            <w:shd w:val="clear" w:color="auto" w:fill="auto"/>
          </w:tcPr>
          <w:p w14:paraId="55E32192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>Мрежова карта за връзка с централните точки:</w:t>
            </w:r>
            <w:r w:rsidRPr="00FF4662">
              <w:rPr>
                <w:rFonts w:eastAsia="Calibri" w:cs="Calibri"/>
                <w:szCs w:val="24"/>
              </w:rPr>
              <w:br/>
              <w:t xml:space="preserve"> - Минимум 4 x 10Gbit/s SFP порта § Минимум 4 х 16Gbit/s SFP порта</w:t>
            </w:r>
          </w:p>
        </w:tc>
        <w:tc>
          <w:tcPr>
            <w:tcW w:w="3565" w:type="dxa"/>
            <w:shd w:val="clear" w:color="auto" w:fill="auto"/>
          </w:tcPr>
          <w:p w14:paraId="058BC778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7CA50F20" w14:textId="77777777" w:rsidTr="004138E5">
        <w:tc>
          <w:tcPr>
            <w:tcW w:w="1101" w:type="dxa"/>
            <w:shd w:val="clear" w:color="auto" w:fill="auto"/>
          </w:tcPr>
          <w:p w14:paraId="09D08B18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2</w:t>
            </w:r>
          </w:p>
        </w:tc>
        <w:tc>
          <w:tcPr>
            <w:tcW w:w="4622" w:type="dxa"/>
            <w:shd w:val="clear" w:color="auto" w:fill="auto"/>
          </w:tcPr>
          <w:p w14:paraId="2074C19B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Решението да бъде доставено с минимум 175TB използваем капацитет преди компресия и </w:t>
            </w:r>
            <w:proofErr w:type="spellStart"/>
            <w:r w:rsidRPr="00FF4662">
              <w:rPr>
                <w:rFonts w:eastAsia="Calibri" w:cs="Calibri"/>
                <w:szCs w:val="24"/>
              </w:rPr>
              <w:t>дедупликация</w:t>
            </w:r>
            <w:proofErr w:type="spellEnd"/>
            <w:r w:rsidRPr="00FF4662">
              <w:rPr>
                <w:rFonts w:eastAsia="Calibri" w:cs="Calibri"/>
                <w:szCs w:val="24"/>
              </w:rPr>
              <w:t>, чрез използването на RAID6 и с дискове не по-големи от 8TB. Решението трябва да позволява разширение до 750TB</w:t>
            </w:r>
          </w:p>
        </w:tc>
        <w:tc>
          <w:tcPr>
            <w:tcW w:w="3565" w:type="dxa"/>
            <w:shd w:val="clear" w:color="auto" w:fill="auto"/>
          </w:tcPr>
          <w:p w14:paraId="3A341F64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1AED6C83" w14:textId="77777777" w:rsidTr="004138E5">
        <w:tc>
          <w:tcPr>
            <w:tcW w:w="1101" w:type="dxa"/>
            <w:shd w:val="clear" w:color="auto" w:fill="auto"/>
          </w:tcPr>
          <w:p w14:paraId="6342299F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3</w:t>
            </w:r>
          </w:p>
        </w:tc>
        <w:tc>
          <w:tcPr>
            <w:tcW w:w="4622" w:type="dxa"/>
            <w:shd w:val="clear" w:color="auto" w:fill="auto"/>
          </w:tcPr>
          <w:p w14:paraId="7C43A149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>Всички нужни захранвания да бъдат включени.</w:t>
            </w:r>
          </w:p>
        </w:tc>
        <w:tc>
          <w:tcPr>
            <w:tcW w:w="3565" w:type="dxa"/>
            <w:shd w:val="clear" w:color="auto" w:fill="auto"/>
          </w:tcPr>
          <w:p w14:paraId="498F5645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60B0464B" w14:textId="77777777" w:rsidTr="004138E5">
        <w:tc>
          <w:tcPr>
            <w:tcW w:w="1101" w:type="dxa"/>
            <w:shd w:val="clear" w:color="auto" w:fill="auto"/>
          </w:tcPr>
          <w:p w14:paraId="21689018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4</w:t>
            </w:r>
          </w:p>
        </w:tc>
        <w:tc>
          <w:tcPr>
            <w:tcW w:w="4622" w:type="dxa"/>
            <w:shd w:val="clear" w:color="auto" w:fill="auto"/>
          </w:tcPr>
          <w:p w14:paraId="436CAC87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Протоколи за свързаност – решението трябва да поддържа следните протоколи - CIFS, NFS, VTL </w:t>
            </w:r>
          </w:p>
        </w:tc>
        <w:tc>
          <w:tcPr>
            <w:tcW w:w="3565" w:type="dxa"/>
            <w:shd w:val="clear" w:color="auto" w:fill="auto"/>
          </w:tcPr>
          <w:p w14:paraId="3B239FA5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4DFC8ACD" w14:textId="77777777" w:rsidTr="004138E5">
        <w:tc>
          <w:tcPr>
            <w:tcW w:w="1101" w:type="dxa"/>
            <w:shd w:val="clear" w:color="auto" w:fill="auto"/>
          </w:tcPr>
          <w:p w14:paraId="6585A4C7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5</w:t>
            </w:r>
          </w:p>
        </w:tc>
        <w:tc>
          <w:tcPr>
            <w:tcW w:w="4622" w:type="dxa"/>
            <w:shd w:val="clear" w:color="auto" w:fill="auto"/>
          </w:tcPr>
          <w:p w14:paraId="530F57F5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Решението трябва да използва </w:t>
            </w:r>
            <w:proofErr w:type="spellStart"/>
            <w:r w:rsidRPr="00FF4662">
              <w:rPr>
                <w:rFonts w:eastAsia="Calibri" w:cs="Calibri"/>
                <w:szCs w:val="24"/>
              </w:rPr>
              <w:t>Inline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F4662">
              <w:rPr>
                <w:rFonts w:eastAsia="Calibri" w:cs="Calibri"/>
                <w:szCs w:val="24"/>
              </w:rPr>
              <w:t>дедупликация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и компресия</w:t>
            </w:r>
          </w:p>
        </w:tc>
        <w:tc>
          <w:tcPr>
            <w:tcW w:w="3565" w:type="dxa"/>
            <w:shd w:val="clear" w:color="auto" w:fill="auto"/>
          </w:tcPr>
          <w:p w14:paraId="0EAE40E7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79DF7C8D" w14:textId="77777777" w:rsidTr="004138E5">
        <w:tc>
          <w:tcPr>
            <w:tcW w:w="1101" w:type="dxa"/>
            <w:shd w:val="clear" w:color="auto" w:fill="auto"/>
          </w:tcPr>
          <w:p w14:paraId="6C65ACBE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6</w:t>
            </w:r>
          </w:p>
        </w:tc>
        <w:tc>
          <w:tcPr>
            <w:tcW w:w="4622" w:type="dxa"/>
            <w:shd w:val="clear" w:color="auto" w:fill="auto"/>
          </w:tcPr>
          <w:p w14:paraId="13A0DFCD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Решението трябва да позволява интеграция с бекъп приложения и приложения за данни за </w:t>
            </w:r>
            <w:proofErr w:type="spellStart"/>
            <w:r w:rsidRPr="00FF4662">
              <w:rPr>
                <w:rFonts w:eastAsia="Calibri" w:cs="Calibri"/>
                <w:szCs w:val="24"/>
              </w:rPr>
              <w:t>дедупликация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на данните преди изпращане към хардуерното устройство (</w:t>
            </w:r>
            <w:proofErr w:type="spellStart"/>
            <w:r w:rsidRPr="00FF4662">
              <w:rPr>
                <w:rFonts w:eastAsia="Calibri" w:cs="Calibri"/>
                <w:szCs w:val="24"/>
              </w:rPr>
              <w:t>client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F4662">
              <w:rPr>
                <w:rFonts w:eastAsia="Calibri" w:cs="Calibri"/>
                <w:szCs w:val="24"/>
              </w:rPr>
              <w:t>based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F4662">
              <w:rPr>
                <w:rFonts w:eastAsia="Calibri" w:cs="Calibri"/>
                <w:szCs w:val="24"/>
              </w:rPr>
              <w:t>deduplication</w:t>
            </w:r>
            <w:proofErr w:type="spellEnd"/>
            <w:r w:rsidRPr="00FF4662">
              <w:rPr>
                <w:rFonts w:eastAsia="Calibri" w:cs="Calibri"/>
                <w:szCs w:val="24"/>
              </w:rPr>
              <w:t>)</w:t>
            </w:r>
          </w:p>
        </w:tc>
        <w:tc>
          <w:tcPr>
            <w:tcW w:w="3565" w:type="dxa"/>
            <w:shd w:val="clear" w:color="auto" w:fill="auto"/>
          </w:tcPr>
          <w:p w14:paraId="1DB668CF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326A1B88" w14:textId="77777777" w:rsidTr="004138E5">
        <w:tc>
          <w:tcPr>
            <w:tcW w:w="1101" w:type="dxa"/>
            <w:shd w:val="clear" w:color="auto" w:fill="auto"/>
          </w:tcPr>
          <w:p w14:paraId="0DBA25A3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7</w:t>
            </w:r>
          </w:p>
        </w:tc>
        <w:tc>
          <w:tcPr>
            <w:tcW w:w="4622" w:type="dxa"/>
            <w:shd w:val="clear" w:color="auto" w:fill="auto"/>
          </w:tcPr>
          <w:p w14:paraId="39428DCC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>Решението трябва да осигурява минимална производителност от минимум 24TB/ч в стандартен режим</w:t>
            </w:r>
          </w:p>
        </w:tc>
        <w:tc>
          <w:tcPr>
            <w:tcW w:w="3565" w:type="dxa"/>
            <w:shd w:val="clear" w:color="auto" w:fill="auto"/>
          </w:tcPr>
          <w:p w14:paraId="49468BB3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16710AA7" w14:textId="77777777" w:rsidTr="004138E5">
        <w:tc>
          <w:tcPr>
            <w:tcW w:w="1101" w:type="dxa"/>
            <w:shd w:val="clear" w:color="auto" w:fill="auto"/>
          </w:tcPr>
          <w:p w14:paraId="2BAF1184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8</w:t>
            </w:r>
          </w:p>
        </w:tc>
        <w:tc>
          <w:tcPr>
            <w:tcW w:w="4622" w:type="dxa"/>
            <w:shd w:val="clear" w:color="auto" w:fill="auto"/>
          </w:tcPr>
          <w:p w14:paraId="763FB803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Решението трябва да осигурява минимална производителност от минимум 55TB/ч при използването на </w:t>
            </w:r>
            <w:proofErr w:type="spellStart"/>
            <w:r w:rsidRPr="00FF4662">
              <w:rPr>
                <w:rFonts w:eastAsia="Calibri" w:cs="Calibri"/>
                <w:szCs w:val="24"/>
              </w:rPr>
              <w:t>дедупликация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от страна на клиента (</w:t>
            </w:r>
            <w:proofErr w:type="spellStart"/>
            <w:r w:rsidRPr="00FF4662">
              <w:rPr>
                <w:rFonts w:eastAsia="Calibri" w:cs="Calibri"/>
                <w:szCs w:val="24"/>
              </w:rPr>
              <w:t>client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F4662">
              <w:rPr>
                <w:rFonts w:eastAsia="Calibri" w:cs="Calibri"/>
                <w:szCs w:val="24"/>
              </w:rPr>
              <w:t>based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F4662">
              <w:rPr>
                <w:rFonts w:eastAsia="Calibri" w:cs="Calibri"/>
                <w:szCs w:val="24"/>
              </w:rPr>
              <w:t>duduplication</w:t>
            </w:r>
            <w:proofErr w:type="spellEnd"/>
            <w:r w:rsidRPr="00FF4662">
              <w:rPr>
                <w:rFonts w:eastAsia="Calibri" w:cs="Calibri"/>
                <w:szCs w:val="24"/>
              </w:rPr>
              <w:t>)</w:t>
            </w:r>
          </w:p>
        </w:tc>
        <w:tc>
          <w:tcPr>
            <w:tcW w:w="3565" w:type="dxa"/>
            <w:shd w:val="clear" w:color="auto" w:fill="auto"/>
          </w:tcPr>
          <w:p w14:paraId="05833ABD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2827A9DB" w14:textId="77777777" w:rsidTr="004138E5">
        <w:tc>
          <w:tcPr>
            <w:tcW w:w="1101" w:type="dxa"/>
            <w:shd w:val="clear" w:color="auto" w:fill="auto"/>
          </w:tcPr>
          <w:p w14:paraId="09B25FAB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9</w:t>
            </w:r>
          </w:p>
        </w:tc>
        <w:tc>
          <w:tcPr>
            <w:tcW w:w="4622" w:type="dxa"/>
            <w:shd w:val="clear" w:color="auto" w:fill="auto"/>
          </w:tcPr>
          <w:p w14:paraId="1B0CE30A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Решението трябва да използва блокове с променлив размер за </w:t>
            </w:r>
            <w:proofErr w:type="spellStart"/>
            <w:r w:rsidRPr="00FF4662">
              <w:rPr>
                <w:rFonts w:eastAsia="Calibri" w:cs="Calibri"/>
                <w:szCs w:val="24"/>
              </w:rPr>
              <w:t>дедупликацията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(</w:t>
            </w:r>
            <w:proofErr w:type="spellStart"/>
            <w:r w:rsidRPr="00FF4662">
              <w:rPr>
                <w:rFonts w:eastAsia="Calibri" w:cs="Calibri"/>
                <w:szCs w:val="24"/>
              </w:rPr>
              <w:t>variable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F4662">
              <w:rPr>
                <w:rFonts w:eastAsia="Calibri" w:cs="Calibri"/>
                <w:szCs w:val="24"/>
              </w:rPr>
              <w:t>block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F4662">
              <w:rPr>
                <w:rFonts w:eastAsia="Calibri" w:cs="Calibri"/>
                <w:szCs w:val="24"/>
              </w:rPr>
              <w:t>deduplication</w:t>
            </w:r>
            <w:proofErr w:type="spellEnd"/>
            <w:r w:rsidRPr="00FF4662">
              <w:rPr>
                <w:rFonts w:eastAsia="Calibri" w:cs="Calibri"/>
                <w:szCs w:val="24"/>
              </w:rPr>
              <w:t>)</w:t>
            </w:r>
          </w:p>
        </w:tc>
        <w:tc>
          <w:tcPr>
            <w:tcW w:w="3565" w:type="dxa"/>
            <w:shd w:val="clear" w:color="auto" w:fill="auto"/>
          </w:tcPr>
          <w:p w14:paraId="586EA7C9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7761E6D3" w14:textId="77777777" w:rsidTr="004138E5">
        <w:tc>
          <w:tcPr>
            <w:tcW w:w="1101" w:type="dxa"/>
            <w:shd w:val="clear" w:color="auto" w:fill="auto"/>
          </w:tcPr>
          <w:p w14:paraId="14ABF640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10</w:t>
            </w:r>
          </w:p>
        </w:tc>
        <w:tc>
          <w:tcPr>
            <w:tcW w:w="4622" w:type="dxa"/>
            <w:shd w:val="clear" w:color="auto" w:fill="auto"/>
          </w:tcPr>
          <w:p w14:paraId="2412B7DD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Решението трябва да използва глобална </w:t>
            </w:r>
            <w:proofErr w:type="spellStart"/>
            <w:r w:rsidRPr="00FF4662">
              <w:rPr>
                <w:rFonts w:eastAsia="Calibri" w:cs="Calibri"/>
                <w:szCs w:val="24"/>
              </w:rPr>
              <w:t>дедупликация</w:t>
            </w:r>
            <w:proofErr w:type="spellEnd"/>
            <w:r w:rsidRPr="00FF4662">
              <w:rPr>
                <w:rFonts w:eastAsia="Calibri" w:cs="Calibri"/>
                <w:szCs w:val="24"/>
              </w:rPr>
              <w:t>, без значение на използвания протокол за бекъп (CIFS/NFS/VTL/</w:t>
            </w:r>
            <w:proofErr w:type="spellStart"/>
            <w:r w:rsidRPr="00FF4662">
              <w:rPr>
                <w:rFonts w:eastAsia="Calibri" w:cs="Calibri"/>
                <w:szCs w:val="24"/>
              </w:rPr>
              <w:t>дедупликация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при клиента)</w:t>
            </w:r>
          </w:p>
        </w:tc>
        <w:tc>
          <w:tcPr>
            <w:tcW w:w="3565" w:type="dxa"/>
            <w:shd w:val="clear" w:color="auto" w:fill="auto"/>
          </w:tcPr>
          <w:p w14:paraId="7D245F1D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4B5112B5" w14:textId="77777777" w:rsidTr="004138E5">
        <w:tc>
          <w:tcPr>
            <w:tcW w:w="1101" w:type="dxa"/>
            <w:shd w:val="clear" w:color="auto" w:fill="auto"/>
          </w:tcPr>
          <w:p w14:paraId="01E12045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11</w:t>
            </w:r>
          </w:p>
        </w:tc>
        <w:tc>
          <w:tcPr>
            <w:tcW w:w="4622" w:type="dxa"/>
            <w:shd w:val="clear" w:color="auto" w:fill="auto"/>
          </w:tcPr>
          <w:p w14:paraId="349FB508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Решението трябва да бъде доставено с минимум 1 </w:t>
            </w:r>
            <w:proofErr w:type="spellStart"/>
            <w:r w:rsidRPr="00FF4662">
              <w:rPr>
                <w:rFonts w:eastAsia="Calibri" w:cs="Calibri"/>
                <w:szCs w:val="24"/>
              </w:rPr>
              <w:t>hot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F4662">
              <w:rPr>
                <w:rFonts w:eastAsia="Calibri" w:cs="Calibri"/>
                <w:szCs w:val="24"/>
              </w:rPr>
              <w:t>spare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диск за всяко чекмедже от дискове</w:t>
            </w:r>
          </w:p>
        </w:tc>
        <w:tc>
          <w:tcPr>
            <w:tcW w:w="3565" w:type="dxa"/>
            <w:shd w:val="clear" w:color="auto" w:fill="auto"/>
          </w:tcPr>
          <w:p w14:paraId="6DF0D610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2A6E0A1D" w14:textId="77777777" w:rsidTr="004138E5">
        <w:tc>
          <w:tcPr>
            <w:tcW w:w="1101" w:type="dxa"/>
            <w:shd w:val="clear" w:color="auto" w:fill="auto"/>
          </w:tcPr>
          <w:p w14:paraId="00477D01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12</w:t>
            </w:r>
          </w:p>
        </w:tc>
        <w:tc>
          <w:tcPr>
            <w:tcW w:w="4622" w:type="dxa"/>
            <w:shd w:val="clear" w:color="auto" w:fill="auto"/>
          </w:tcPr>
          <w:p w14:paraId="51933B45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>Решението трябва да предлага валидация на записаните данни</w:t>
            </w:r>
          </w:p>
        </w:tc>
        <w:tc>
          <w:tcPr>
            <w:tcW w:w="3565" w:type="dxa"/>
            <w:shd w:val="clear" w:color="auto" w:fill="auto"/>
          </w:tcPr>
          <w:p w14:paraId="1855B0D8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40A7F690" w14:textId="77777777" w:rsidTr="004138E5">
        <w:tc>
          <w:tcPr>
            <w:tcW w:w="1101" w:type="dxa"/>
            <w:shd w:val="clear" w:color="auto" w:fill="auto"/>
          </w:tcPr>
          <w:p w14:paraId="5A86C47D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13</w:t>
            </w:r>
          </w:p>
        </w:tc>
        <w:tc>
          <w:tcPr>
            <w:tcW w:w="4622" w:type="dxa"/>
            <w:shd w:val="clear" w:color="auto" w:fill="auto"/>
          </w:tcPr>
          <w:p w14:paraId="7F2CD3F6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>Решението трябва да предлага криптирана репликация</w:t>
            </w:r>
          </w:p>
        </w:tc>
        <w:tc>
          <w:tcPr>
            <w:tcW w:w="3565" w:type="dxa"/>
            <w:shd w:val="clear" w:color="auto" w:fill="auto"/>
          </w:tcPr>
          <w:p w14:paraId="75CC7B6D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537B2D27" w14:textId="77777777" w:rsidTr="004138E5">
        <w:tc>
          <w:tcPr>
            <w:tcW w:w="1101" w:type="dxa"/>
            <w:shd w:val="clear" w:color="auto" w:fill="auto"/>
          </w:tcPr>
          <w:p w14:paraId="06AAD6CC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14</w:t>
            </w:r>
          </w:p>
        </w:tc>
        <w:tc>
          <w:tcPr>
            <w:tcW w:w="4622" w:type="dxa"/>
            <w:shd w:val="clear" w:color="auto" w:fill="auto"/>
          </w:tcPr>
          <w:p w14:paraId="62FEF379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>Решението трябва да бъде доставено с лицензи за репликация</w:t>
            </w:r>
          </w:p>
        </w:tc>
        <w:tc>
          <w:tcPr>
            <w:tcW w:w="3565" w:type="dxa"/>
            <w:shd w:val="clear" w:color="auto" w:fill="auto"/>
          </w:tcPr>
          <w:p w14:paraId="69CF5EF8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1024E0B0" w14:textId="77777777" w:rsidTr="004138E5">
        <w:tc>
          <w:tcPr>
            <w:tcW w:w="1101" w:type="dxa"/>
            <w:shd w:val="clear" w:color="auto" w:fill="auto"/>
          </w:tcPr>
          <w:p w14:paraId="378021F0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b/>
                <w:bCs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15</w:t>
            </w:r>
          </w:p>
        </w:tc>
        <w:tc>
          <w:tcPr>
            <w:tcW w:w="4622" w:type="dxa"/>
            <w:shd w:val="clear" w:color="auto" w:fill="auto"/>
          </w:tcPr>
          <w:p w14:paraId="49A2B5D3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>Решението трябва да позволява репликация както на всички данни, така и на избрано подмножество (избрана папка, виртуална лента и т.н.)</w:t>
            </w:r>
          </w:p>
        </w:tc>
        <w:tc>
          <w:tcPr>
            <w:tcW w:w="3565" w:type="dxa"/>
            <w:shd w:val="clear" w:color="auto" w:fill="auto"/>
          </w:tcPr>
          <w:p w14:paraId="02263DFE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35074158" w14:textId="77777777" w:rsidTr="004138E5">
        <w:tc>
          <w:tcPr>
            <w:tcW w:w="1101" w:type="dxa"/>
            <w:shd w:val="clear" w:color="auto" w:fill="auto"/>
          </w:tcPr>
          <w:p w14:paraId="71CC883E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16</w:t>
            </w:r>
          </w:p>
        </w:tc>
        <w:tc>
          <w:tcPr>
            <w:tcW w:w="4622" w:type="dxa"/>
            <w:shd w:val="clear" w:color="auto" w:fill="auto"/>
          </w:tcPr>
          <w:p w14:paraId="4E93AE3B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Решението трябва да позволява репликация със съществуващи устройства Dell </w:t>
            </w:r>
            <w:proofErr w:type="spellStart"/>
            <w:r w:rsidRPr="00FF4662">
              <w:rPr>
                <w:rFonts w:eastAsia="Calibri" w:cs="Calibri"/>
                <w:szCs w:val="24"/>
              </w:rPr>
              <w:t>PowerProtect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DD 6900 на всякакъв тип данни (CIFS/NFS, VLT, други) без необходимост от използване на допълнителен хардуер и софтуер, освен този, необходим за мрежовата свързаност</w:t>
            </w:r>
          </w:p>
        </w:tc>
        <w:tc>
          <w:tcPr>
            <w:tcW w:w="3565" w:type="dxa"/>
            <w:shd w:val="clear" w:color="auto" w:fill="auto"/>
          </w:tcPr>
          <w:p w14:paraId="128FE314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5BA1D60C" w14:textId="77777777" w:rsidTr="004138E5">
        <w:tc>
          <w:tcPr>
            <w:tcW w:w="1101" w:type="dxa"/>
            <w:shd w:val="clear" w:color="auto" w:fill="auto"/>
          </w:tcPr>
          <w:p w14:paraId="7262A6F4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17</w:t>
            </w:r>
          </w:p>
        </w:tc>
        <w:tc>
          <w:tcPr>
            <w:tcW w:w="4622" w:type="dxa"/>
            <w:shd w:val="clear" w:color="auto" w:fill="auto"/>
          </w:tcPr>
          <w:p w14:paraId="4DABE49D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 Устройството трябва да поддържа моментни копия/</w:t>
            </w:r>
            <w:proofErr w:type="spellStart"/>
            <w:r w:rsidRPr="00FF4662">
              <w:rPr>
                <w:rFonts w:eastAsia="Calibri" w:cs="Calibri"/>
                <w:szCs w:val="24"/>
              </w:rPr>
              <w:t>snapshots</w:t>
            </w:r>
            <w:proofErr w:type="spellEnd"/>
            <w:r w:rsidRPr="00FF4662">
              <w:rPr>
                <w:rFonts w:eastAsia="Calibri" w:cs="Calibri"/>
                <w:szCs w:val="24"/>
              </w:rPr>
              <w:t>.</w:t>
            </w:r>
          </w:p>
        </w:tc>
        <w:tc>
          <w:tcPr>
            <w:tcW w:w="3565" w:type="dxa"/>
            <w:shd w:val="clear" w:color="auto" w:fill="auto"/>
          </w:tcPr>
          <w:p w14:paraId="566E2C2E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5221173B" w14:textId="77777777" w:rsidTr="004138E5">
        <w:tc>
          <w:tcPr>
            <w:tcW w:w="1101" w:type="dxa"/>
            <w:shd w:val="clear" w:color="auto" w:fill="auto"/>
          </w:tcPr>
          <w:p w14:paraId="6A9D756E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18</w:t>
            </w:r>
          </w:p>
        </w:tc>
        <w:tc>
          <w:tcPr>
            <w:tcW w:w="4622" w:type="dxa"/>
            <w:shd w:val="clear" w:color="auto" w:fill="auto"/>
          </w:tcPr>
          <w:p w14:paraId="35AEEC75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>Всички компоненти на устройството да са нови и неупотребявани, с оригинална опаковка и маркировка от производителя</w:t>
            </w:r>
          </w:p>
        </w:tc>
        <w:tc>
          <w:tcPr>
            <w:tcW w:w="3565" w:type="dxa"/>
            <w:shd w:val="clear" w:color="auto" w:fill="auto"/>
          </w:tcPr>
          <w:p w14:paraId="12B202C6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5F5A7EE7" w14:textId="77777777" w:rsidTr="004138E5">
        <w:tc>
          <w:tcPr>
            <w:tcW w:w="1101" w:type="dxa"/>
            <w:shd w:val="clear" w:color="auto" w:fill="auto"/>
          </w:tcPr>
          <w:p w14:paraId="5A852034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19</w:t>
            </w:r>
          </w:p>
        </w:tc>
        <w:tc>
          <w:tcPr>
            <w:tcW w:w="4622" w:type="dxa"/>
            <w:shd w:val="clear" w:color="auto" w:fill="auto"/>
          </w:tcPr>
          <w:p w14:paraId="403148B3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Решението трябва да позволява </w:t>
            </w:r>
            <w:proofErr w:type="spellStart"/>
            <w:r w:rsidRPr="00FF4662">
              <w:rPr>
                <w:rFonts w:eastAsia="Calibri" w:cs="Calibri"/>
                <w:szCs w:val="24"/>
              </w:rPr>
              <w:t>разшираване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с минимум 4 FC порта на 16Gbit/s</w:t>
            </w:r>
          </w:p>
        </w:tc>
        <w:tc>
          <w:tcPr>
            <w:tcW w:w="3565" w:type="dxa"/>
            <w:shd w:val="clear" w:color="auto" w:fill="auto"/>
          </w:tcPr>
          <w:p w14:paraId="3DBEE4C0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2CED76B2" w14:textId="77777777" w:rsidTr="004138E5">
        <w:tc>
          <w:tcPr>
            <w:tcW w:w="1101" w:type="dxa"/>
            <w:shd w:val="clear" w:color="auto" w:fill="auto"/>
          </w:tcPr>
          <w:p w14:paraId="2DC34600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20</w:t>
            </w:r>
          </w:p>
        </w:tc>
        <w:tc>
          <w:tcPr>
            <w:tcW w:w="4622" w:type="dxa"/>
            <w:shd w:val="clear" w:color="auto" w:fill="auto"/>
          </w:tcPr>
          <w:p w14:paraId="37613EEC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>Решението трябва да позволява „заключване“ на бекъп информацията (</w:t>
            </w:r>
            <w:proofErr w:type="spellStart"/>
            <w:r w:rsidRPr="00FF4662">
              <w:rPr>
                <w:rFonts w:eastAsia="Calibri" w:cs="Calibri"/>
                <w:szCs w:val="24"/>
              </w:rPr>
              <w:t>retention</w:t>
            </w:r>
            <w:proofErr w:type="spellEnd"/>
            <w:r w:rsidRPr="00FF4662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FF4662">
              <w:rPr>
                <w:rFonts w:eastAsia="Calibri" w:cs="Calibri"/>
                <w:szCs w:val="24"/>
              </w:rPr>
              <w:t>lock</w:t>
            </w:r>
            <w:proofErr w:type="spellEnd"/>
            <w:r w:rsidRPr="00FF4662">
              <w:rPr>
                <w:rFonts w:eastAsia="Calibri" w:cs="Calibri"/>
                <w:szCs w:val="24"/>
              </w:rPr>
              <w:t>) за определен период от време</w:t>
            </w:r>
          </w:p>
        </w:tc>
        <w:tc>
          <w:tcPr>
            <w:tcW w:w="3565" w:type="dxa"/>
            <w:shd w:val="clear" w:color="auto" w:fill="auto"/>
          </w:tcPr>
          <w:p w14:paraId="28B7C42B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0EBF69F1" w14:textId="77777777" w:rsidTr="004138E5">
        <w:tc>
          <w:tcPr>
            <w:tcW w:w="1101" w:type="dxa"/>
            <w:shd w:val="clear" w:color="auto" w:fill="auto"/>
          </w:tcPr>
          <w:p w14:paraId="2CEF52AC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21</w:t>
            </w:r>
          </w:p>
        </w:tc>
        <w:tc>
          <w:tcPr>
            <w:tcW w:w="4622" w:type="dxa"/>
            <w:shd w:val="clear" w:color="auto" w:fill="auto"/>
          </w:tcPr>
          <w:p w14:paraId="74435950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Срок на хардуерната гаранция - минимум 5 (пет) години. </w:t>
            </w:r>
          </w:p>
        </w:tc>
        <w:tc>
          <w:tcPr>
            <w:tcW w:w="3565" w:type="dxa"/>
            <w:shd w:val="clear" w:color="auto" w:fill="auto"/>
          </w:tcPr>
          <w:p w14:paraId="56C6412E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11254EA9" w14:textId="77777777" w:rsidTr="004138E5">
        <w:tc>
          <w:tcPr>
            <w:tcW w:w="1101" w:type="dxa"/>
            <w:shd w:val="clear" w:color="auto" w:fill="auto"/>
          </w:tcPr>
          <w:p w14:paraId="604FE910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22</w:t>
            </w:r>
          </w:p>
        </w:tc>
        <w:tc>
          <w:tcPr>
            <w:tcW w:w="4622" w:type="dxa"/>
            <w:shd w:val="clear" w:color="auto" w:fill="auto"/>
          </w:tcPr>
          <w:p w14:paraId="74ACF296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Срок на техническа поддържка – минимум 5 (пет) години. </w:t>
            </w:r>
          </w:p>
        </w:tc>
        <w:tc>
          <w:tcPr>
            <w:tcW w:w="3565" w:type="dxa"/>
            <w:shd w:val="clear" w:color="auto" w:fill="auto"/>
          </w:tcPr>
          <w:p w14:paraId="29E35449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  <w:tr w:rsidR="008D05B0" w:rsidRPr="00936795" w14:paraId="5653A948" w14:textId="77777777" w:rsidTr="004138E5">
        <w:tc>
          <w:tcPr>
            <w:tcW w:w="1101" w:type="dxa"/>
            <w:shd w:val="clear" w:color="auto" w:fill="auto"/>
          </w:tcPr>
          <w:p w14:paraId="5F477093" w14:textId="77777777" w:rsidR="008D05B0" w:rsidRPr="00FF4662" w:rsidRDefault="008D05B0" w:rsidP="004138E5">
            <w:pPr>
              <w:suppressAutoHyphens/>
              <w:ind w:firstLine="0"/>
              <w:rPr>
                <w:rFonts w:eastAsia="Calibri" w:cs="Arial"/>
                <w:szCs w:val="24"/>
              </w:rPr>
            </w:pPr>
            <w:r w:rsidRPr="00FF4662">
              <w:rPr>
                <w:rFonts w:eastAsia="Calibri" w:cs="Arial"/>
                <w:szCs w:val="24"/>
              </w:rPr>
              <w:t>REQ. 23</w:t>
            </w:r>
          </w:p>
        </w:tc>
        <w:tc>
          <w:tcPr>
            <w:tcW w:w="4622" w:type="dxa"/>
            <w:shd w:val="clear" w:color="auto" w:fill="auto"/>
          </w:tcPr>
          <w:p w14:paraId="52B6A6AC" w14:textId="77777777" w:rsidR="008D05B0" w:rsidRPr="00FF4662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Cs w:val="24"/>
              </w:rPr>
            </w:pPr>
            <w:r w:rsidRPr="00FF4662">
              <w:rPr>
                <w:rFonts w:eastAsia="Calibri" w:cs="Calibri"/>
                <w:szCs w:val="24"/>
              </w:rPr>
              <w:t xml:space="preserve">Получаване на нови версии на софтуера - минимум 5 (пет) години. </w:t>
            </w:r>
          </w:p>
        </w:tc>
        <w:tc>
          <w:tcPr>
            <w:tcW w:w="3565" w:type="dxa"/>
            <w:shd w:val="clear" w:color="auto" w:fill="auto"/>
          </w:tcPr>
          <w:p w14:paraId="4424E435" w14:textId="77777777" w:rsidR="008D05B0" w:rsidRPr="00936795" w:rsidRDefault="008D05B0" w:rsidP="004138E5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eastAsia="Calibri" w:cs="Calibri"/>
                <w:sz w:val="22"/>
                <w:szCs w:val="24"/>
              </w:rPr>
            </w:pPr>
          </w:p>
        </w:tc>
      </w:tr>
    </w:tbl>
    <w:p w14:paraId="62921BCD" w14:textId="77777777" w:rsidR="008D05B0" w:rsidRPr="00BB6682" w:rsidRDefault="008D05B0" w:rsidP="008D05B0">
      <w:pPr>
        <w:spacing w:line="360" w:lineRule="auto"/>
        <w:rPr>
          <w:rFonts w:cs="Arial"/>
          <w:szCs w:val="24"/>
        </w:rPr>
      </w:pPr>
    </w:p>
    <w:p w14:paraId="1A416FDA" w14:textId="77777777" w:rsidR="008D05B0" w:rsidRPr="00BB6682" w:rsidRDefault="008D05B0" w:rsidP="008D05B0">
      <w:pPr>
        <w:spacing w:line="360" w:lineRule="auto"/>
        <w:rPr>
          <w:rFonts w:eastAsia="PMingLiU"/>
          <w:lang w:eastAsia="bg-BG"/>
        </w:rPr>
      </w:pPr>
      <w:r w:rsidRPr="00BB6682">
        <w:rPr>
          <w:rFonts w:eastAsia="PMingLiU"/>
          <w:lang w:eastAsia="bg-BG"/>
        </w:rPr>
        <w:t xml:space="preserve">Прилагаме като неразделна част към настоящото предложение всички изисквани документи, както следва: </w:t>
      </w:r>
    </w:p>
    <w:p w14:paraId="5B6CB2A5" w14:textId="77777777" w:rsidR="008D05B0" w:rsidRPr="00BB6682" w:rsidRDefault="008D05B0" w:rsidP="008D05B0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PMingLiU" w:cs="Arial"/>
          <w:szCs w:val="24"/>
          <w:lang w:eastAsia="bg-BG"/>
        </w:rPr>
      </w:pPr>
    </w:p>
    <w:p w14:paraId="740E4379" w14:textId="77777777" w:rsidR="008D05B0" w:rsidRPr="00BB6682" w:rsidRDefault="008D05B0" w:rsidP="008D05B0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PMingLiU" w:cs="Arial"/>
          <w:i/>
          <w:szCs w:val="24"/>
          <w:lang w:eastAsia="bg-BG"/>
        </w:rPr>
      </w:pPr>
    </w:p>
    <w:p w14:paraId="623F697F" w14:textId="77777777" w:rsidR="008D05B0" w:rsidRPr="00BB6682" w:rsidRDefault="008D05B0" w:rsidP="008D05B0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PMingLiU" w:cs="Arial"/>
          <w:i/>
          <w:szCs w:val="24"/>
          <w:lang w:eastAsia="bg-BG"/>
        </w:rPr>
      </w:pPr>
      <w:r w:rsidRPr="00BB6682">
        <w:rPr>
          <w:rFonts w:eastAsia="PMingLiU" w:cs="Arial"/>
          <w:i/>
          <w:szCs w:val="24"/>
          <w:lang w:eastAsia="bg-BG"/>
        </w:rPr>
        <w:t>/Описват се подробно приложените документи, информация, представени по преценка на участника./</w:t>
      </w:r>
    </w:p>
    <w:p w14:paraId="35BF26BF" w14:textId="77777777" w:rsidR="008D05B0" w:rsidRPr="00BB6682" w:rsidRDefault="008D05B0" w:rsidP="008D05B0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PMingLiU" w:cs="Arial"/>
          <w:b/>
          <w:szCs w:val="24"/>
          <w:lang w:eastAsia="bg-BG"/>
        </w:rPr>
      </w:pPr>
    </w:p>
    <w:p w14:paraId="013E3FAA" w14:textId="77777777" w:rsidR="008D05B0" w:rsidRPr="00BB6682" w:rsidRDefault="008D05B0" w:rsidP="008D05B0">
      <w:pPr>
        <w:spacing w:after="0" w:line="240" w:lineRule="auto"/>
        <w:rPr>
          <w:rFonts w:cs="Arial"/>
          <w:szCs w:val="24"/>
        </w:rPr>
      </w:pPr>
    </w:p>
    <w:p w14:paraId="4C1CFACE" w14:textId="77777777" w:rsidR="008D05B0" w:rsidRPr="00BB6682" w:rsidRDefault="008D05B0" w:rsidP="008D05B0">
      <w:pPr>
        <w:spacing w:after="0" w:line="240" w:lineRule="auto"/>
        <w:rPr>
          <w:rFonts w:cs="Arial"/>
          <w:szCs w:val="24"/>
        </w:rPr>
      </w:pPr>
    </w:p>
    <w:p w14:paraId="0ECE8476" w14:textId="77777777" w:rsidR="008D05B0" w:rsidRPr="00BB6682" w:rsidRDefault="008D05B0" w:rsidP="008D05B0">
      <w:pPr>
        <w:spacing w:after="0" w:line="240" w:lineRule="auto"/>
        <w:rPr>
          <w:rFonts w:cs="Arial"/>
          <w:szCs w:val="24"/>
        </w:rPr>
      </w:pPr>
    </w:p>
    <w:p w14:paraId="23BC56B8" w14:textId="77777777" w:rsidR="008D05B0" w:rsidRPr="00BB6682" w:rsidRDefault="008D05B0" w:rsidP="008D05B0">
      <w:pPr>
        <w:spacing w:after="0" w:line="240" w:lineRule="auto"/>
        <w:rPr>
          <w:rFonts w:cs="Arial"/>
          <w:szCs w:val="24"/>
        </w:rPr>
      </w:pPr>
    </w:p>
    <w:p w14:paraId="0B579EFF" w14:textId="77777777" w:rsidR="008D05B0" w:rsidRPr="00BB6682" w:rsidRDefault="008D05B0" w:rsidP="008D05B0">
      <w:pPr>
        <w:spacing w:after="0" w:line="240" w:lineRule="auto"/>
        <w:rPr>
          <w:rFonts w:cs="Arial"/>
          <w:szCs w:val="24"/>
        </w:rPr>
      </w:pPr>
      <w:r w:rsidRPr="00BB6682">
        <w:rPr>
          <w:rFonts w:cs="Arial"/>
          <w:szCs w:val="24"/>
        </w:rPr>
        <w:t>[дата]</w:t>
      </w:r>
      <w:r w:rsidRPr="00BB6682">
        <w:rPr>
          <w:rFonts w:cs="Arial"/>
          <w:szCs w:val="24"/>
        </w:rPr>
        <w:tab/>
      </w:r>
      <w:r w:rsidRPr="00BB6682">
        <w:rPr>
          <w:rFonts w:cs="Arial"/>
          <w:szCs w:val="24"/>
        </w:rPr>
        <w:tab/>
      </w:r>
      <w:r w:rsidRPr="00BB6682">
        <w:rPr>
          <w:rFonts w:cs="Arial"/>
          <w:szCs w:val="24"/>
        </w:rPr>
        <w:tab/>
      </w:r>
      <w:r w:rsidRPr="00BB6682">
        <w:rPr>
          <w:rFonts w:cs="Arial"/>
          <w:szCs w:val="24"/>
        </w:rPr>
        <w:tab/>
      </w:r>
      <w:r w:rsidRPr="00BB6682">
        <w:rPr>
          <w:rFonts w:cs="Arial"/>
          <w:szCs w:val="24"/>
        </w:rPr>
        <w:tab/>
      </w:r>
      <w:r w:rsidRPr="00BB6682">
        <w:rPr>
          <w:rFonts w:cs="Arial"/>
          <w:szCs w:val="24"/>
        </w:rPr>
        <w:tab/>
      </w:r>
    </w:p>
    <w:p w14:paraId="3B7B616C" w14:textId="77777777" w:rsidR="008D05B0" w:rsidRPr="00BB6682" w:rsidRDefault="008D05B0" w:rsidP="008D05B0">
      <w:pPr>
        <w:spacing w:after="0" w:line="240" w:lineRule="auto"/>
        <w:ind w:left="4248" w:firstLine="708"/>
        <w:rPr>
          <w:rFonts w:cs="Arial"/>
          <w:b/>
          <w:szCs w:val="24"/>
          <w:u w:val="single"/>
        </w:rPr>
      </w:pPr>
      <w:r w:rsidRPr="00BB6682">
        <w:rPr>
          <w:rFonts w:cs="Arial"/>
          <w:b/>
          <w:szCs w:val="24"/>
          <w:u w:val="single"/>
        </w:rPr>
        <w:t xml:space="preserve">ПОДПИС </w:t>
      </w:r>
    </w:p>
    <w:p w14:paraId="07553C56" w14:textId="77777777" w:rsidR="008D05B0" w:rsidRPr="00BB6682" w:rsidRDefault="008D05B0" w:rsidP="008D05B0">
      <w:pPr>
        <w:spacing w:after="0" w:line="240" w:lineRule="auto"/>
        <w:ind w:left="4248" w:firstLine="708"/>
        <w:rPr>
          <w:rFonts w:cs="Arial"/>
          <w:szCs w:val="24"/>
        </w:rPr>
      </w:pPr>
      <w:r w:rsidRPr="00BB6682">
        <w:rPr>
          <w:rFonts w:cs="Arial"/>
          <w:szCs w:val="24"/>
        </w:rPr>
        <w:t>[име и фамилия]</w:t>
      </w:r>
    </w:p>
    <w:p w14:paraId="6BF86962" w14:textId="77777777" w:rsidR="008D05B0" w:rsidRPr="00BB6682" w:rsidRDefault="008D05B0" w:rsidP="008D05B0">
      <w:pPr>
        <w:spacing w:after="0" w:line="240" w:lineRule="auto"/>
        <w:ind w:left="4956"/>
        <w:rPr>
          <w:rFonts w:cs="Arial"/>
          <w:szCs w:val="24"/>
        </w:rPr>
      </w:pPr>
      <w:r w:rsidRPr="00BB6682">
        <w:rPr>
          <w:rFonts w:cs="Arial"/>
          <w:szCs w:val="24"/>
        </w:rPr>
        <w:t>[качество на представляващия участника]</w:t>
      </w:r>
    </w:p>
    <w:p w14:paraId="33EFD302" w14:textId="77777777" w:rsidR="008D05B0" w:rsidRPr="00BB6682" w:rsidRDefault="008D05B0" w:rsidP="008D05B0">
      <w:pPr>
        <w:spacing w:after="0" w:line="240" w:lineRule="auto"/>
        <w:ind w:left="4956"/>
        <w:rPr>
          <w:rFonts w:cs="Arial"/>
          <w:szCs w:val="24"/>
        </w:rPr>
      </w:pPr>
    </w:p>
    <w:p w14:paraId="127EB7B1" w14:textId="77777777" w:rsidR="008D05B0" w:rsidRPr="00BB6682" w:rsidRDefault="008D05B0" w:rsidP="008D05B0">
      <w:pPr>
        <w:spacing w:after="0" w:line="240" w:lineRule="auto"/>
        <w:ind w:left="4956"/>
        <w:rPr>
          <w:rFonts w:cs="Arial"/>
          <w:szCs w:val="24"/>
        </w:rPr>
      </w:pPr>
    </w:p>
    <w:p w14:paraId="2259AB1D" w14:textId="77777777" w:rsidR="008D05B0" w:rsidRPr="00BB6682" w:rsidRDefault="008D05B0" w:rsidP="008D05B0">
      <w:pPr>
        <w:spacing w:after="0" w:line="240" w:lineRule="auto"/>
        <w:ind w:left="4956"/>
        <w:rPr>
          <w:rFonts w:cs="Arial"/>
          <w:szCs w:val="24"/>
        </w:rPr>
      </w:pPr>
    </w:p>
    <w:p w14:paraId="2A9740E4" w14:textId="41EE4BAD" w:rsidR="00220619" w:rsidRDefault="008D05B0" w:rsidP="008D05B0">
      <w:pPr>
        <w:spacing w:after="0" w:line="240" w:lineRule="auto"/>
      </w:pPr>
      <w:r w:rsidRPr="00BB6682">
        <w:rPr>
          <w:rFonts w:cs="Arial"/>
          <w:b/>
          <w:szCs w:val="24"/>
        </w:rPr>
        <w:t>Забележка:</w:t>
      </w:r>
      <w:r w:rsidRPr="00BB6682">
        <w:rPr>
          <w:rFonts w:cs="Arial"/>
          <w:szCs w:val="24"/>
        </w:rPr>
        <w:t xml:space="preserve"> </w:t>
      </w:r>
      <w:r w:rsidRPr="00BB6682">
        <w:rPr>
          <w:rFonts w:cs="Arial"/>
          <w:i/>
          <w:szCs w:val="24"/>
        </w:rPr>
        <w:t>Техническото предложение се представя в електронен вид във формат .</w:t>
      </w:r>
      <w:proofErr w:type="spellStart"/>
      <w:r w:rsidRPr="00BB6682">
        <w:rPr>
          <w:rFonts w:cs="Arial"/>
          <w:i/>
          <w:szCs w:val="24"/>
        </w:rPr>
        <w:t>pdf</w:t>
      </w:r>
      <w:proofErr w:type="spellEnd"/>
      <w:r w:rsidRPr="00BB6682">
        <w:rPr>
          <w:rFonts w:cs="Arial"/>
          <w:i/>
          <w:szCs w:val="24"/>
        </w:rPr>
        <w:t>, подписано с квалифициран електронен подпис.</w:t>
      </w:r>
    </w:p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B0"/>
    <w:rsid w:val="002144D0"/>
    <w:rsid w:val="004D3809"/>
    <w:rsid w:val="008D05B0"/>
    <w:rsid w:val="009A5332"/>
    <w:rsid w:val="00DB3BC6"/>
    <w:rsid w:val="00E059ED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5562"/>
  <w15:chartTrackingRefBased/>
  <w15:docId w15:val="{4EA27E69-4346-4E48-AFA5-B81385F0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B0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Цветелина Пенчева</cp:lastModifiedBy>
  <cp:revision>2</cp:revision>
  <dcterms:created xsi:type="dcterms:W3CDTF">2023-06-09T11:46:00Z</dcterms:created>
  <dcterms:modified xsi:type="dcterms:W3CDTF">2023-06-09T11:46:00Z</dcterms:modified>
</cp:coreProperties>
</file>