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E32B" w14:textId="77777777" w:rsidR="0039564C" w:rsidRPr="007A34C2" w:rsidRDefault="0039564C" w:rsidP="0039564C">
      <w:pPr>
        <w:spacing w:after="0" w:line="240" w:lineRule="auto"/>
        <w:ind w:left="2400" w:firstLine="4680"/>
        <w:jc w:val="right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2375A65D" w14:textId="77777777" w:rsidR="0039564C" w:rsidRPr="00D076B0" w:rsidRDefault="0039564C" w:rsidP="0039564C">
      <w:pPr>
        <w:spacing w:after="0" w:line="240" w:lineRule="auto"/>
        <w:ind w:firstLine="7088"/>
        <w:jc w:val="right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737C0B09" w14:textId="77777777" w:rsidR="0039564C" w:rsidRPr="007A34C2" w:rsidRDefault="0039564C" w:rsidP="0039564C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78C03C85" w14:textId="77777777" w:rsidR="0039564C" w:rsidRPr="007A34C2" w:rsidRDefault="0039564C" w:rsidP="0039564C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1DEBC05" w14:textId="77777777" w:rsidR="0039564C" w:rsidRPr="007A34C2" w:rsidRDefault="0039564C" w:rsidP="0039564C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58DFCF7A" w14:textId="77777777" w:rsidR="0039564C" w:rsidRDefault="0039564C" w:rsidP="0039564C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1D2755FD" w14:textId="77777777" w:rsidR="0039564C" w:rsidRDefault="0039564C" w:rsidP="0039564C">
      <w:pPr>
        <w:spacing w:after="0"/>
        <w:rPr>
          <w:rFonts w:cs="Arial"/>
          <w:b/>
          <w:bCs/>
          <w:szCs w:val="24"/>
        </w:rPr>
      </w:pPr>
    </w:p>
    <w:p w14:paraId="091A8D27" w14:textId="77777777" w:rsidR="0039564C" w:rsidRPr="007A34C2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5AA5B428" w14:textId="77777777" w:rsidR="0039564C" w:rsidRPr="007A34C2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21FD5C11" w14:textId="77777777" w:rsidR="0039564C" w:rsidRPr="007A34C2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0FC1C37B" w14:textId="77777777" w:rsidR="0039564C" w:rsidRPr="007A34C2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17750E38" w14:textId="77777777" w:rsidR="0039564C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00AF273B" w14:textId="77777777" w:rsidR="0039564C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5A80AE57" w14:textId="77777777" w:rsidR="0039564C" w:rsidRDefault="0039564C" w:rsidP="0039564C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15AD2A62" w14:textId="77777777" w:rsidR="0039564C" w:rsidRPr="00026E09" w:rsidRDefault="0039564C" w:rsidP="0039564C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2F3FAA53" w14:textId="77777777" w:rsidR="0039564C" w:rsidRPr="00E40F9D" w:rsidRDefault="0039564C" w:rsidP="0039564C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за</w:t>
      </w: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3875F8E3" w14:textId="77777777" w:rsidR="0039564C" w:rsidRPr="004A0909" w:rsidRDefault="0039564C" w:rsidP="0039564C">
      <w:pPr>
        <w:shd w:val="clear" w:color="auto" w:fill="FFFFFF"/>
        <w:suppressAutoHyphens/>
        <w:spacing w:line="240" w:lineRule="auto"/>
        <w:ind w:left="74" w:firstLine="0"/>
        <w:jc w:val="center"/>
        <w:rPr>
          <w:rFonts w:cs="Arial Narrow"/>
          <w:b/>
          <w:bCs/>
          <w:szCs w:val="24"/>
        </w:rPr>
      </w:pPr>
      <w:bookmarkStart w:id="1" w:name="_Hlk190082943"/>
      <w:bookmarkStart w:id="2" w:name="_Hlk125704438"/>
      <w:bookmarkStart w:id="3" w:name="_Hlk124327765"/>
      <w:r w:rsidRPr="0057684E">
        <w:rPr>
          <w:rFonts w:cs="Arial Narrow"/>
          <w:b/>
          <w:bCs/>
          <w:szCs w:val="24"/>
        </w:rPr>
        <w:t>„</w:t>
      </w:r>
      <w:r w:rsidRPr="003E42F8">
        <w:rPr>
          <w:rFonts w:cs="Arial Narrow"/>
          <w:b/>
          <w:bCs/>
          <w:szCs w:val="24"/>
        </w:rPr>
        <w:t>Осигуряване на правото на ползване на централизирана платформа за мониторинг и управление на ИТ активи за нуждите на киберсигурността на „Информационно обслужване“ АД“.</w:t>
      </w:r>
    </w:p>
    <w:bookmarkEnd w:id="1"/>
    <w:bookmarkEnd w:id="2"/>
    <w:p w14:paraId="20D9E1ED" w14:textId="77777777" w:rsidR="0039564C" w:rsidRDefault="0039564C" w:rsidP="0039564C">
      <w:pPr>
        <w:tabs>
          <w:tab w:val="left" w:pos="1701"/>
        </w:tabs>
        <w:spacing w:after="240" w:line="240" w:lineRule="auto"/>
      </w:pPr>
      <w:r w:rsidRPr="00E90FAD">
        <w:t xml:space="preserve">След запознаване с </w:t>
      </w:r>
      <w:r>
        <w:t>документацията</w:t>
      </w:r>
      <w:r w:rsidRPr="00E90FAD">
        <w:t xml:space="preserve"> за участие в процедура</w:t>
      </w:r>
      <w:r>
        <w:t xml:space="preserve"> за избор на доставчик с предмет: </w:t>
      </w:r>
      <w:r w:rsidRPr="00D72AEE">
        <w:rPr>
          <w:rFonts w:cs="Arial Narrow"/>
          <w:szCs w:val="24"/>
        </w:rPr>
        <w:t>„Осигуряване на правото на ползване на централизирана платформа за мониторинг и управление на ИТ активи за нуждите на киберсигурността на „Информационно обслужване“ АД“</w:t>
      </w:r>
      <w:r w:rsidRPr="00E87E58">
        <w:t>, с настоящото Техническо предложение</w:t>
      </w:r>
      <w:r w:rsidRPr="00E90FAD">
        <w:t xml:space="preserve"> правим следните обвързващи предложения:</w:t>
      </w:r>
    </w:p>
    <w:bookmarkEnd w:id="3"/>
    <w:p w14:paraId="61BD032F" w14:textId="77777777" w:rsidR="0039564C" w:rsidRDefault="0039564C" w:rsidP="0039564C">
      <w:pPr>
        <w:numPr>
          <w:ilvl w:val="0"/>
          <w:numId w:val="1"/>
        </w:numPr>
        <w:tabs>
          <w:tab w:val="left" w:pos="1701"/>
        </w:tabs>
        <w:spacing w:line="240" w:lineRule="auto"/>
      </w:pPr>
      <w:r>
        <w:t>Срок за изпълнение:</w:t>
      </w:r>
    </w:p>
    <w:p w14:paraId="2B3003DB" w14:textId="77777777" w:rsidR="0039564C" w:rsidRDefault="0039564C" w:rsidP="0039564C">
      <w:pPr>
        <w:pStyle w:val="ListParagraph"/>
        <w:numPr>
          <w:ilvl w:val="1"/>
          <w:numId w:val="3"/>
        </w:numPr>
        <w:tabs>
          <w:tab w:val="left" w:pos="1701"/>
        </w:tabs>
      </w:pPr>
      <w:r>
        <w:t xml:space="preserve">Декларираме, че ще осигурим лицензите в срок до </w:t>
      </w:r>
      <w:r>
        <w:rPr>
          <w:lang w:val="en-US"/>
        </w:rPr>
        <w:t>…</w:t>
      </w:r>
      <w:r>
        <w:t>………..…./…………</w:t>
      </w:r>
      <w:r>
        <w:rPr>
          <w:lang w:val="en-US"/>
        </w:rPr>
        <w:t>….</w:t>
      </w:r>
      <w:r>
        <w:t>/ работни дни (</w:t>
      </w:r>
      <w:r w:rsidRPr="005F3567">
        <w:rPr>
          <w:i/>
          <w:iCs/>
        </w:rPr>
        <w:t xml:space="preserve">не повече от </w:t>
      </w:r>
      <w:r>
        <w:rPr>
          <w:i/>
          <w:iCs/>
          <w:lang w:val="en-US"/>
        </w:rPr>
        <w:t>10</w:t>
      </w:r>
      <w:r w:rsidRPr="005F3567">
        <w:rPr>
          <w:i/>
          <w:iCs/>
        </w:rPr>
        <w:t xml:space="preserve"> </w:t>
      </w:r>
      <w:r>
        <w:rPr>
          <w:i/>
          <w:iCs/>
        </w:rPr>
        <w:t xml:space="preserve">/десет/ </w:t>
      </w:r>
      <w:r w:rsidRPr="005F3567">
        <w:rPr>
          <w:i/>
          <w:iCs/>
        </w:rPr>
        <w:t>работни дни</w:t>
      </w:r>
      <w:r>
        <w:t>), считано от датата на сключване на договор.</w:t>
      </w:r>
    </w:p>
    <w:p w14:paraId="6C10C3F8" w14:textId="77777777" w:rsidR="0039564C" w:rsidRDefault="0039564C" w:rsidP="0039564C">
      <w:pPr>
        <w:pStyle w:val="ListParagraph"/>
        <w:numPr>
          <w:ilvl w:val="1"/>
          <w:numId w:val="3"/>
        </w:numPr>
        <w:tabs>
          <w:tab w:val="left" w:pos="1701"/>
        </w:tabs>
      </w:pPr>
      <w:r w:rsidRPr="001F5B89">
        <w:t>Срокът на валидност на лицензите е 3</w:t>
      </w:r>
      <w:r>
        <w:t>6</w:t>
      </w:r>
      <w:r w:rsidRPr="001F5B89">
        <w:t xml:space="preserve"> (</w:t>
      </w:r>
      <w:r>
        <w:t>тридесет и шест</w:t>
      </w:r>
      <w:r w:rsidRPr="001F5B89">
        <w:t xml:space="preserve">) </w:t>
      </w:r>
      <w:r>
        <w:t>месеца</w:t>
      </w:r>
      <w:r w:rsidRPr="001F5B89">
        <w:t xml:space="preserve">, </w:t>
      </w:r>
      <w:r w:rsidRPr="0057684E">
        <w:t>считано от датата на осигуряване на лицензите</w:t>
      </w:r>
      <w:r w:rsidRPr="001F5B89">
        <w:t>.</w:t>
      </w:r>
    </w:p>
    <w:p w14:paraId="5A3AF202" w14:textId="77777777" w:rsidR="0039564C" w:rsidRPr="009F6264" w:rsidRDefault="0039564C" w:rsidP="0039564C">
      <w:pPr>
        <w:numPr>
          <w:ilvl w:val="0"/>
          <w:numId w:val="3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BA7A18">
        <w:rPr>
          <w:rFonts w:cs="Arial"/>
          <w:szCs w:val="24"/>
        </w:rPr>
        <w:t xml:space="preserve">Приемаме да изпълним </w:t>
      </w:r>
      <w:r>
        <w:rPr>
          <w:rFonts w:cs="Arial"/>
          <w:szCs w:val="24"/>
        </w:rPr>
        <w:t>предмета на процедурата,</w:t>
      </w:r>
      <w:r w:rsidRPr="00712CFC">
        <w:rPr>
          <w:rFonts w:cs="Arial"/>
          <w:szCs w:val="24"/>
        </w:rPr>
        <w:t xml:space="preserve"> </w:t>
      </w:r>
      <w:r w:rsidRPr="00BA7A18">
        <w:rPr>
          <w:rFonts w:cs="Arial"/>
          <w:szCs w:val="24"/>
        </w:rPr>
        <w:t xml:space="preserve">съгласно всички </w:t>
      </w:r>
      <w:r>
        <w:rPr>
          <w:rFonts w:cs="Arial"/>
          <w:szCs w:val="24"/>
        </w:rPr>
        <w:t>условия и изисквания, посочени от</w:t>
      </w:r>
      <w:r w:rsidRPr="00BA7A18">
        <w:rPr>
          <w:rFonts w:cs="Arial"/>
          <w:szCs w:val="24"/>
        </w:rPr>
        <w:t xml:space="preserve"> Възложителя в поканата за участие в настоящата процедура</w:t>
      </w:r>
      <w:r>
        <w:rPr>
          <w:rFonts w:cs="Arial"/>
          <w:szCs w:val="24"/>
        </w:rPr>
        <w:t xml:space="preserve"> и Техническото задание - Приложение </w:t>
      </w:r>
      <w:r w:rsidRPr="00642B4C">
        <w:rPr>
          <w:rFonts w:cs="Arial"/>
          <w:szCs w:val="24"/>
        </w:rPr>
        <w:t>№</w:t>
      </w:r>
      <w:r>
        <w:rPr>
          <w:rFonts w:cs="Arial"/>
          <w:szCs w:val="24"/>
        </w:rPr>
        <w:t xml:space="preserve"> 1</w:t>
      </w:r>
      <w:r w:rsidRPr="00BA7A18">
        <w:rPr>
          <w:rFonts w:cs="Arial"/>
          <w:szCs w:val="24"/>
          <w:lang w:val="en-US"/>
        </w:rPr>
        <w:t>.</w:t>
      </w:r>
    </w:p>
    <w:p w14:paraId="22632CBE" w14:textId="77777777" w:rsidR="0039564C" w:rsidRPr="0042184B" w:rsidRDefault="0039564C" w:rsidP="0039564C">
      <w:pPr>
        <w:numPr>
          <w:ilvl w:val="0"/>
          <w:numId w:val="3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42184B">
        <w:rPr>
          <w:rFonts w:cs="Arial"/>
          <w:szCs w:val="24"/>
        </w:rPr>
        <w:t>Приемаме да осигурим възможност за обновяване по всяко време на софтуерното решение до последна версия за целия период на валидност на лицензите.</w:t>
      </w:r>
    </w:p>
    <w:p w14:paraId="51B82BB8" w14:textId="77777777" w:rsidR="0039564C" w:rsidRDefault="0039564C" w:rsidP="0039564C">
      <w:pPr>
        <w:numPr>
          <w:ilvl w:val="0"/>
          <w:numId w:val="3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>П</w:t>
      </w:r>
      <w:r w:rsidRPr="00E73593">
        <w:rPr>
          <w:rFonts w:cs="Arial"/>
          <w:szCs w:val="24"/>
        </w:rPr>
        <w:t>редложение</w:t>
      </w:r>
      <w:r>
        <w:rPr>
          <w:rFonts w:cs="Arial"/>
          <w:szCs w:val="24"/>
        </w:rPr>
        <w:t>то</w:t>
      </w:r>
      <w:r w:rsidRPr="00E73593">
        <w:rPr>
          <w:rFonts w:cs="Arial"/>
          <w:szCs w:val="24"/>
        </w:rPr>
        <w:t xml:space="preserve"> е със срок на валидност ………….. / …………………………/ календарни дни</w:t>
      </w:r>
      <w:r w:rsidRPr="00E73593">
        <w:rPr>
          <w:rFonts w:cs="Arial"/>
          <w:i/>
          <w:szCs w:val="24"/>
        </w:rPr>
        <w:t xml:space="preserve"> (не по-малко от 60 </w:t>
      </w:r>
      <w:r>
        <w:rPr>
          <w:rFonts w:cs="Arial"/>
          <w:i/>
          <w:szCs w:val="24"/>
        </w:rPr>
        <w:t xml:space="preserve">/шестдесет/ </w:t>
      </w:r>
      <w:r w:rsidRPr="00E73593">
        <w:rPr>
          <w:rFonts w:cs="Arial"/>
          <w:i/>
          <w:szCs w:val="24"/>
        </w:rPr>
        <w:t>календарни дни)</w:t>
      </w:r>
      <w:r>
        <w:rPr>
          <w:rFonts w:cs="Arial"/>
          <w:szCs w:val="24"/>
        </w:rPr>
        <w:t xml:space="preserve">, </w:t>
      </w:r>
      <w:r w:rsidRPr="00083ECA">
        <w:rPr>
          <w:rFonts w:cs="Arial"/>
          <w:szCs w:val="24"/>
        </w:rPr>
        <w:t>считано от датата на представяне на предложението.</w:t>
      </w:r>
    </w:p>
    <w:p w14:paraId="2172229D" w14:textId="77777777" w:rsidR="0039564C" w:rsidRDefault="0039564C" w:rsidP="0039564C">
      <w:pPr>
        <w:pStyle w:val="ListParagraph"/>
        <w:numPr>
          <w:ilvl w:val="0"/>
          <w:numId w:val="3"/>
        </w:numPr>
        <w:tabs>
          <w:tab w:val="left" w:pos="1701"/>
        </w:tabs>
        <w:spacing w:before="0" w:after="0"/>
        <w:ind w:left="357"/>
        <w:rPr>
          <w:rFonts w:cs="Arial"/>
          <w:szCs w:val="24"/>
        </w:rPr>
      </w:pPr>
      <w:bookmarkStart w:id="4" w:name="_Hlk124328445"/>
      <w:r>
        <w:rPr>
          <w:rFonts w:cs="Arial"/>
          <w:szCs w:val="24"/>
        </w:rPr>
        <w:t xml:space="preserve">Приемаме да </w:t>
      </w:r>
      <w:bookmarkStart w:id="5" w:name="_Hlk190087580"/>
      <w:r>
        <w:rPr>
          <w:rFonts w:cs="Arial"/>
          <w:szCs w:val="24"/>
        </w:rPr>
        <w:t>о</w:t>
      </w:r>
      <w:r w:rsidRPr="0057684E">
        <w:rPr>
          <w:rFonts w:cs="Arial"/>
          <w:szCs w:val="24"/>
        </w:rPr>
        <w:t>сигур</w:t>
      </w:r>
      <w:r>
        <w:rPr>
          <w:rFonts w:cs="Arial"/>
          <w:szCs w:val="24"/>
        </w:rPr>
        <w:t>им</w:t>
      </w:r>
      <w:r w:rsidRPr="0057684E">
        <w:rPr>
          <w:rFonts w:cs="Arial"/>
          <w:szCs w:val="24"/>
        </w:rPr>
        <w:t xml:space="preserve"> </w:t>
      </w:r>
      <w:bookmarkEnd w:id="5"/>
      <w:r w:rsidRPr="00DD2306">
        <w:rPr>
          <w:rFonts w:cs="Arial"/>
          <w:szCs w:val="24"/>
        </w:rPr>
        <w:t>правото на ползване на централизирана платформа за мониторинг и управление на ИТ активи за нуждите на киберсигурността</w:t>
      </w:r>
      <w:r>
        <w:rPr>
          <w:rFonts w:cs="Arial"/>
          <w:szCs w:val="24"/>
        </w:rPr>
        <w:t>, със следната количествена и техническа спецификация:</w:t>
      </w:r>
    </w:p>
    <w:p w14:paraId="32A6A2AC" w14:textId="77777777" w:rsidR="0039564C" w:rsidRDefault="0039564C" w:rsidP="0039564C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p w14:paraId="3DBB7ED2" w14:textId="77777777" w:rsidR="0039564C" w:rsidRPr="00E23280" w:rsidRDefault="0039564C" w:rsidP="0039564C">
      <w:pPr>
        <w:pStyle w:val="ListParagraph"/>
        <w:spacing w:after="0"/>
        <w:ind w:left="1068"/>
        <w:rPr>
          <w:szCs w:val="24"/>
        </w:rPr>
      </w:pPr>
      <w:r w:rsidRPr="004E1586">
        <w:rPr>
          <w:rFonts w:cs="Arial"/>
          <w:b/>
          <w:bCs/>
          <w:szCs w:val="24"/>
        </w:rPr>
        <w:t>Вид продукт и количество</w:t>
      </w:r>
    </w:p>
    <w:p w14:paraId="5CFD0C10" w14:textId="77777777" w:rsidR="0039564C" w:rsidRPr="00E23280" w:rsidRDefault="0039564C" w:rsidP="0039564C">
      <w:pPr>
        <w:pStyle w:val="BodyText"/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1843"/>
        <w:gridCol w:w="1701"/>
      </w:tblGrid>
      <w:tr w:rsidR="0039564C" w:rsidRPr="00E23280" w14:paraId="1084537E" w14:textId="77777777" w:rsidTr="00B91496">
        <w:trPr>
          <w:trHeight w:val="487"/>
        </w:trPr>
        <w:tc>
          <w:tcPr>
            <w:tcW w:w="6379" w:type="dxa"/>
            <w:shd w:val="clear" w:color="auto" w:fill="5B9BD4"/>
          </w:tcPr>
          <w:p w14:paraId="72C4B07B" w14:textId="77777777" w:rsidR="0039564C" w:rsidRPr="00E23280" w:rsidRDefault="0039564C" w:rsidP="00B914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3280">
              <w:rPr>
                <w:b/>
                <w:sz w:val="24"/>
                <w:szCs w:val="24"/>
              </w:rPr>
              <w:t>Вид/</w:t>
            </w:r>
            <w:r w:rsidRPr="00E23280">
              <w:rPr>
                <w:b/>
                <w:spacing w:val="-2"/>
                <w:sz w:val="24"/>
                <w:szCs w:val="24"/>
              </w:rPr>
              <w:t xml:space="preserve"> продукт</w:t>
            </w:r>
          </w:p>
        </w:tc>
        <w:tc>
          <w:tcPr>
            <w:tcW w:w="1843" w:type="dxa"/>
            <w:shd w:val="clear" w:color="auto" w:fill="5B9BD4"/>
          </w:tcPr>
          <w:p w14:paraId="7EB34362" w14:textId="77777777" w:rsidR="0039564C" w:rsidRPr="00E23280" w:rsidRDefault="0039564C" w:rsidP="00B914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3280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701" w:type="dxa"/>
            <w:shd w:val="clear" w:color="auto" w:fill="5B9BD4"/>
          </w:tcPr>
          <w:p w14:paraId="3E2D0B9A" w14:textId="77777777" w:rsidR="0039564C" w:rsidRPr="00E23280" w:rsidRDefault="0039564C" w:rsidP="00B914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3280">
              <w:rPr>
                <w:b/>
                <w:spacing w:val="-4"/>
                <w:sz w:val="24"/>
                <w:szCs w:val="24"/>
              </w:rPr>
              <w:t>Брой</w:t>
            </w:r>
          </w:p>
          <w:p w14:paraId="6122D64E" w14:textId="77777777" w:rsidR="0039564C" w:rsidRPr="00E23280" w:rsidRDefault="0039564C" w:rsidP="00B914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3280">
              <w:rPr>
                <w:b/>
                <w:spacing w:val="-2"/>
                <w:sz w:val="24"/>
                <w:szCs w:val="24"/>
              </w:rPr>
              <w:t>/количество</w:t>
            </w:r>
          </w:p>
        </w:tc>
      </w:tr>
      <w:tr w:rsidR="0039564C" w:rsidRPr="00E23280" w14:paraId="125C5F28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47E" w14:textId="77777777" w:rsidR="0039564C" w:rsidRPr="00E23280" w:rsidRDefault="0039564C" w:rsidP="00B91496">
            <w:pPr>
              <w:spacing w:after="0" w:line="240" w:lineRule="auto"/>
              <w:rPr>
                <w:color w:val="000000"/>
                <w:szCs w:val="24"/>
              </w:rPr>
            </w:pPr>
            <w:r w:rsidRPr="00E23280">
              <w:rPr>
                <w:color w:val="000000"/>
                <w:szCs w:val="24"/>
              </w:rPr>
              <w:t xml:space="preserve">Централизирана платформа </w:t>
            </w:r>
            <w:r w:rsidRPr="00E23280">
              <w:rPr>
                <w:rFonts w:cs="Arial"/>
                <w:szCs w:val="24"/>
              </w:rPr>
              <w:t xml:space="preserve">за мониторинг и </w:t>
            </w:r>
            <w:r w:rsidRPr="00E23280">
              <w:rPr>
                <w:rFonts w:cs="Arial"/>
                <w:color w:val="222222"/>
                <w:szCs w:val="24"/>
                <w:shd w:val="clear" w:color="auto" w:fill="FFFFFF"/>
              </w:rPr>
              <w:t>управление на ИТ активи за 800 работни станции, 700 сървъра, 250 мрежови устройства (общо 1750 крайни точки)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E6B2" w14:textId="77777777" w:rsidR="0039564C" w:rsidRPr="00E23280" w:rsidRDefault="0039564C" w:rsidP="00B914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23280">
              <w:rPr>
                <w:color w:val="000000"/>
                <w:szCs w:val="24"/>
              </w:rPr>
              <w:t>Software/licence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B1A" w14:textId="77777777" w:rsidR="0039564C" w:rsidRPr="00E23280" w:rsidRDefault="0039564C" w:rsidP="00B914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23280">
              <w:rPr>
                <w:color w:val="000000"/>
                <w:szCs w:val="24"/>
              </w:rPr>
              <w:t>1750</w:t>
            </w:r>
          </w:p>
        </w:tc>
      </w:tr>
    </w:tbl>
    <w:p w14:paraId="7CBB4989" w14:textId="77777777" w:rsidR="0039564C" w:rsidRPr="00E23280" w:rsidRDefault="0039564C" w:rsidP="0039564C">
      <w:pPr>
        <w:pStyle w:val="BodyTex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800FBF7" w14:textId="77777777" w:rsidR="0039564C" w:rsidRPr="00E23280" w:rsidRDefault="0039564C" w:rsidP="0039564C">
      <w:pPr>
        <w:pStyle w:val="ListParagraph"/>
        <w:spacing w:after="0"/>
        <w:ind w:left="1068"/>
        <w:rPr>
          <w:szCs w:val="24"/>
        </w:rPr>
      </w:pPr>
      <w:r w:rsidRPr="004E1586">
        <w:rPr>
          <w:rFonts w:cs="Arial"/>
          <w:b/>
          <w:bCs/>
          <w:szCs w:val="24"/>
        </w:rPr>
        <w:t>Технически и функционални изисквания</w:t>
      </w:r>
    </w:p>
    <w:p w14:paraId="18CEFB7D" w14:textId="77777777" w:rsidR="0039564C" w:rsidRPr="00E23280" w:rsidRDefault="0039564C" w:rsidP="0039564C">
      <w:pPr>
        <w:pStyle w:val="BodyTex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789"/>
      </w:tblGrid>
      <w:tr w:rsidR="0039564C" w:rsidRPr="00E23280" w14:paraId="30E4E670" w14:textId="77777777" w:rsidTr="00B91496">
        <w:trPr>
          <w:trHeight w:val="508"/>
        </w:trPr>
        <w:tc>
          <w:tcPr>
            <w:tcW w:w="9923" w:type="dxa"/>
            <w:gridSpan w:val="2"/>
            <w:shd w:val="clear" w:color="auto" w:fill="A6A6A6"/>
          </w:tcPr>
          <w:p w14:paraId="5792AC32" w14:textId="77777777" w:rsidR="0039564C" w:rsidRPr="00E23280" w:rsidRDefault="0039564C" w:rsidP="00B91496">
            <w:pPr>
              <w:pStyle w:val="TableParagraph"/>
              <w:ind w:left="10" w:right="2"/>
              <w:jc w:val="left"/>
              <w:rPr>
                <w:b/>
                <w:sz w:val="24"/>
                <w:szCs w:val="24"/>
              </w:rPr>
            </w:pPr>
            <w:r w:rsidRPr="00E23280">
              <w:rPr>
                <w:b/>
                <w:sz w:val="24"/>
                <w:szCs w:val="24"/>
              </w:rPr>
              <w:t>Централизирана платформа</w:t>
            </w:r>
            <w:r w:rsidRPr="00E232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3280">
              <w:rPr>
                <w:b/>
                <w:sz w:val="24"/>
                <w:szCs w:val="24"/>
              </w:rPr>
              <w:t>за мониторинг и управление на ИТ активи</w:t>
            </w:r>
          </w:p>
        </w:tc>
      </w:tr>
      <w:tr w:rsidR="0039564C" w:rsidRPr="00E23280" w14:paraId="046E3981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8691C38" w14:textId="77777777" w:rsidR="0039564C" w:rsidRPr="00E23280" w:rsidRDefault="0039564C" w:rsidP="0039564C">
            <w:pPr>
              <w:pStyle w:val="Index1"/>
              <w:numPr>
                <w:ilvl w:val="0"/>
                <w:numId w:val="5"/>
              </w:num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7FC3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rFonts w:cs="Calibri"/>
                <w:color w:val="000000"/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Решението трябва да представлява централизирана платформа </w:t>
            </w:r>
            <w:r w:rsidRPr="00E23280">
              <w:rPr>
                <w:rFonts w:cs="Arial"/>
                <w:szCs w:val="24"/>
              </w:rPr>
              <w:t xml:space="preserve">за мониторинг и </w:t>
            </w:r>
            <w:r w:rsidRPr="00E23280">
              <w:rPr>
                <w:rFonts w:cs="Arial"/>
                <w:color w:val="222222"/>
                <w:szCs w:val="24"/>
                <w:shd w:val="clear" w:color="auto" w:fill="FFFFFF"/>
              </w:rPr>
              <w:t>управление на ИТ активи</w:t>
            </w:r>
            <w:r w:rsidRPr="00E23280">
              <w:rPr>
                <w:rFonts w:cs="Calibri"/>
                <w:color w:val="000000"/>
                <w:szCs w:val="24"/>
              </w:rPr>
              <w:t>, с детайлни изгледи, възможност за автоматизация и отдалечено изпълнение на команди.</w:t>
            </w:r>
          </w:p>
        </w:tc>
      </w:tr>
      <w:tr w:rsidR="0039564C" w:rsidRPr="00E23280" w14:paraId="14E2325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13A0BF4A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40EB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поддържа следните версии на Windows ОС: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7 SP1 Professional / Enterprise 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8 Professional / Enterprise;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8.1 Professional / Enterprise;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10  Pro / Education / Enterprise / Education;</w:t>
            </w:r>
            <w:r w:rsidRPr="00E23280">
              <w:rPr>
                <w:rFonts w:cs="Calibri"/>
                <w:color w:val="000000"/>
                <w:szCs w:val="24"/>
              </w:rPr>
              <w:br/>
              <w:t xml:space="preserve">- Windows 11  Pro / Education / Enterprise / Education; 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HPC Server 2008;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Server 2012 Standard / Datacenter / Foundation / Essentials;</w:t>
            </w:r>
            <w:r w:rsidRPr="00E23280">
              <w:rPr>
                <w:rFonts w:cs="Calibri"/>
                <w:color w:val="000000"/>
                <w:szCs w:val="24"/>
              </w:rPr>
              <w:br/>
              <w:t>- Microsoft Hyper-V Server 2012;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Server 2012 R2 Standard / Datacenter / Foundation / Essentials;</w:t>
            </w:r>
            <w:r w:rsidRPr="00E23280">
              <w:rPr>
                <w:rFonts w:cs="Calibri"/>
                <w:color w:val="000000"/>
                <w:szCs w:val="24"/>
              </w:rPr>
              <w:br/>
              <w:t>- Microsoft Hyper-V Server 2012 R2;</w:t>
            </w:r>
            <w:r w:rsidRPr="00E23280">
              <w:rPr>
                <w:rFonts w:cs="Calibri"/>
                <w:color w:val="000000"/>
                <w:szCs w:val="24"/>
              </w:rPr>
              <w:br/>
              <w:t>- Storage Server 2012 Standard / Datacenter / Foundation / Essentials;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Server 2016 Standard / Datacenter / Essentials;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Storage Server 2016;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Server 2016 Multipoint Premium Server;</w:t>
            </w:r>
            <w:r w:rsidRPr="00E23280">
              <w:rPr>
                <w:rFonts w:cs="Calibri"/>
                <w:color w:val="000000"/>
                <w:szCs w:val="24"/>
              </w:rPr>
              <w:br/>
              <w:t>- Microsoft Hyper-V Sevrer 2016;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Server 2019 Standard / Datacenter;</w:t>
            </w:r>
            <w:r w:rsidRPr="00E23280">
              <w:rPr>
                <w:rFonts w:cs="Calibri"/>
                <w:color w:val="000000"/>
                <w:szCs w:val="24"/>
              </w:rPr>
              <w:br/>
              <w:t>- Windows Server 2022 Standard / Datacenter / Azure;</w:t>
            </w:r>
          </w:p>
        </w:tc>
      </w:tr>
      <w:tr w:rsidR="0039564C" w:rsidRPr="00E23280" w14:paraId="36BBEE1E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4B20B92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D72C351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поддържа следните версии на MAC OС:</w:t>
            </w:r>
            <w:r w:rsidRPr="00E23280">
              <w:rPr>
                <w:rFonts w:cs="Calibri"/>
                <w:color w:val="000000"/>
                <w:szCs w:val="24"/>
              </w:rPr>
              <w:br/>
              <w:t>- macOS 10.12 Sierra;</w:t>
            </w:r>
            <w:r w:rsidRPr="00E23280">
              <w:rPr>
                <w:rFonts w:cs="Calibri"/>
                <w:color w:val="000000"/>
                <w:szCs w:val="24"/>
              </w:rPr>
              <w:br/>
              <w:t>- macOS 10.13 High Sierra;</w:t>
            </w:r>
            <w:r w:rsidRPr="00E23280">
              <w:rPr>
                <w:rFonts w:cs="Calibri"/>
                <w:color w:val="000000"/>
                <w:szCs w:val="24"/>
              </w:rPr>
              <w:br/>
              <w:t>- macOS 10.14 Mojave;</w:t>
            </w:r>
            <w:r w:rsidRPr="00E23280">
              <w:rPr>
                <w:rFonts w:cs="Calibri"/>
                <w:color w:val="000000"/>
                <w:szCs w:val="24"/>
              </w:rPr>
              <w:br/>
              <w:t>- macOS 10.15 Catalina;</w:t>
            </w:r>
            <w:r w:rsidRPr="00E23280">
              <w:rPr>
                <w:rFonts w:cs="Calibri"/>
                <w:color w:val="000000"/>
                <w:szCs w:val="24"/>
              </w:rPr>
              <w:br/>
              <w:t>- macOS 11.0 Big Sur;</w:t>
            </w:r>
            <w:r w:rsidRPr="00E23280">
              <w:rPr>
                <w:rFonts w:cs="Calibri"/>
                <w:color w:val="000000"/>
                <w:szCs w:val="24"/>
              </w:rPr>
              <w:br/>
              <w:t>- macOS 12.0 Monterey</w:t>
            </w:r>
          </w:p>
        </w:tc>
      </w:tr>
      <w:tr w:rsidR="0039564C" w:rsidRPr="00E23280" w14:paraId="3B9196E2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2AAB9C1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AA51E8B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предоставя различни/независими агенти за сигурност за 32</w:t>
            </w:r>
            <w:r w:rsidRPr="00E23280">
              <w:rPr>
                <w:rFonts w:cs="Calibri"/>
                <w:color w:val="000000"/>
                <w:szCs w:val="24"/>
                <w:vertAlign w:val="superscript"/>
              </w:rPr>
              <w:t>bit</w:t>
            </w:r>
            <w:r w:rsidRPr="00E23280">
              <w:rPr>
                <w:rFonts w:cs="Calibri"/>
                <w:color w:val="000000"/>
                <w:szCs w:val="24"/>
              </w:rPr>
              <w:t xml:space="preserve"> и 64</w:t>
            </w:r>
            <w:r w:rsidRPr="00E23280">
              <w:rPr>
                <w:rFonts w:cs="Calibri"/>
                <w:color w:val="000000"/>
                <w:szCs w:val="24"/>
                <w:vertAlign w:val="superscript"/>
              </w:rPr>
              <w:t>bit</w:t>
            </w:r>
            <w:r w:rsidRPr="00E23280">
              <w:rPr>
                <w:rFonts w:cs="Calibri"/>
                <w:color w:val="000000"/>
                <w:szCs w:val="24"/>
              </w:rPr>
              <w:t xml:space="preserve"> Linux операционни системи. Решението трябва да поддържа следните версии на Linux OС:</w:t>
            </w:r>
            <w:r w:rsidRPr="00E23280">
              <w:rPr>
                <w:rFonts w:cs="Calibri"/>
                <w:color w:val="000000"/>
                <w:szCs w:val="24"/>
              </w:rPr>
              <w:br/>
              <w:t>- Debian 8.7/Ubuntu 14.04 "Trusty Tahr" (x86_64 and i686)</w:t>
            </w:r>
            <w:r w:rsidRPr="00E23280">
              <w:rPr>
                <w:rFonts w:cs="Calibri"/>
                <w:color w:val="000000"/>
                <w:szCs w:val="24"/>
              </w:rPr>
              <w:br/>
              <w:t>- Ubuntu 16.04 "Xenial Xerus" (x86_64 and i686)</w:t>
            </w:r>
            <w:r w:rsidRPr="00E23280">
              <w:rPr>
                <w:rFonts w:cs="Calibri"/>
                <w:color w:val="000000"/>
                <w:szCs w:val="24"/>
              </w:rPr>
              <w:br/>
              <w:t>- Ubuntu 18.04 "Bionic Beaver" (x86_64)</w:t>
            </w:r>
            <w:r w:rsidRPr="00E23280">
              <w:rPr>
                <w:rFonts w:cs="Calibri"/>
                <w:color w:val="000000"/>
                <w:szCs w:val="24"/>
              </w:rPr>
              <w:br/>
              <w:t>- Ubuntu 20.04 LTS (64-bit)</w:t>
            </w:r>
            <w:r w:rsidRPr="00E23280">
              <w:rPr>
                <w:rFonts w:cs="Calibri"/>
                <w:color w:val="000000"/>
                <w:szCs w:val="24"/>
              </w:rPr>
              <w:br/>
            </w:r>
            <w:r w:rsidRPr="00E23280">
              <w:rPr>
                <w:rFonts w:cs="Calibri"/>
                <w:color w:val="000000"/>
                <w:szCs w:val="24"/>
              </w:rPr>
              <w:lastRenderedPageBreak/>
              <w:t>- Red Hat Enterprise Linux/CentOS 6 (x86_64 and i686)</w:t>
            </w:r>
            <w:r w:rsidRPr="00E23280">
              <w:rPr>
                <w:rFonts w:cs="Calibri"/>
                <w:color w:val="000000"/>
                <w:szCs w:val="24"/>
              </w:rPr>
              <w:br/>
              <w:t>- Red Hat Enterprise Linux/CentOS 7 (x86_64 and i686)</w:t>
            </w:r>
            <w:r w:rsidRPr="00E23280">
              <w:rPr>
                <w:rFonts w:cs="Calibri"/>
                <w:color w:val="000000"/>
                <w:szCs w:val="24"/>
              </w:rPr>
              <w:br/>
              <w:t>- Red Hat Enterprise Linux/CentOS 8 (64-bit)</w:t>
            </w:r>
          </w:p>
        </w:tc>
      </w:tr>
      <w:tr w:rsidR="0039564C" w:rsidRPr="00E23280" w14:paraId="76ECF82C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B56348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152992AF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Решението трябва да има възможност за управление на външни крайни устройства (през интернет) без лимитиране на функционалностите </w:t>
            </w:r>
          </w:p>
        </w:tc>
      </w:tr>
      <w:tr w:rsidR="0039564C" w:rsidRPr="00E23280" w14:paraId="3702C9D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7BF99D7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321A5384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управление и актуализация (patch management) на крайни устройства в защитени мрежи</w:t>
            </w:r>
          </w:p>
        </w:tc>
      </w:tr>
      <w:tr w:rsidR="0039564C" w:rsidRPr="00E23280" w14:paraId="4797226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0106239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390DDBA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събира следната обща информация за крайните устройства:</w:t>
            </w:r>
            <w:r w:rsidRPr="00E23280">
              <w:rPr>
                <w:rFonts w:cs="Calibri"/>
                <w:color w:val="000000"/>
                <w:szCs w:val="24"/>
              </w:rPr>
              <w:br/>
              <w:t>- Производител, модел, сериен номер на устройството</w:t>
            </w:r>
            <w:r w:rsidRPr="00E23280">
              <w:rPr>
                <w:rFonts w:cs="Calibri"/>
                <w:color w:val="000000"/>
                <w:szCs w:val="24"/>
              </w:rPr>
              <w:br/>
              <w:t>- Мрежови hostname на устойството</w:t>
            </w:r>
            <w:r w:rsidRPr="00E23280">
              <w:rPr>
                <w:rFonts w:cs="Calibri"/>
                <w:color w:val="000000"/>
                <w:szCs w:val="24"/>
              </w:rPr>
              <w:br/>
              <w:t>- Информация за домейна</w:t>
            </w:r>
            <w:r w:rsidRPr="00E23280">
              <w:rPr>
                <w:rFonts w:cs="Calibri"/>
                <w:color w:val="000000"/>
                <w:szCs w:val="24"/>
              </w:rPr>
              <w:br/>
              <w:t>- Мрежова конфигурация (IP/MAC адрес, мрежова маска, gateway)</w:t>
            </w:r>
            <w:r w:rsidRPr="00E23280">
              <w:rPr>
                <w:rFonts w:cs="Calibri"/>
                <w:color w:val="000000"/>
                <w:szCs w:val="24"/>
              </w:rPr>
              <w:br/>
              <w:t>- Информация за потребителя (login)</w:t>
            </w:r>
            <w:r w:rsidRPr="00E23280">
              <w:rPr>
                <w:rFonts w:cs="Calibri"/>
                <w:color w:val="000000"/>
                <w:szCs w:val="24"/>
              </w:rPr>
              <w:br/>
              <w:t>- Операционна система</w:t>
            </w:r>
            <w:r w:rsidRPr="00E23280">
              <w:rPr>
                <w:rFonts w:cs="Calibri"/>
                <w:color w:val="000000"/>
                <w:szCs w:val="24"/>
              </w:rPr>
              <w:br/>
              <w:t>- Информация за локални потребители и групи</w:t>
            </w:r>
            <w:r w:rsidRPr="00E23280">
              <w:rPr>
                <w:rFonts w:cs="Calibri"/>
                <w:color w:val="000000"/>
                <w:szCs w:val="24"/>
              </w:rPr>
              <w:br/>
            </w:r>
            <w:r w:rsidRPr="00E23280">
              <w:rPr>
                <w:rFonts w:cs="Calibri"/>
                <w:szCs w:val="24"/>
              </w:rPr>
              <w:t>- Дата на последно засичане на устройството в мрежата.</w:t>
            </w:r>
          </w:p>
        </w:tc>
      </w:tr>
      <w:tr w:rsidR="0039564C" w:rsidRPr="00E23280" w14:paraId="06EC5F82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0C0FBC10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2AE61D7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 Решението трябва да събира следната хардуерна информация за крайните устройства:</w:t>
            </w:r>
            <w:r w:rsidRPr="00E23280">
              <w:rPr>
                <w:rFonts w:cs="Calibri"/>
                <w:color w:val="000000"/>
                <w:szCs w:val="24"/>
              </w:rPr>
              <w:br/>
              <w:t>- Производител, модел, сериен номер, BIOS версия на дънната платка;</w:t>
            </w:r>
            <w:r w:rsidRPr="00E23280">
              <w:rPr>
                <w:rFonts w:cs="Calibri"/>
                <w:color w:val="000000"/>
                <w:szCs w:val="24"/>
              </w:rPr>
              <w:br/>
              <w:t>- Производител, модел и сериен номер на процесор;</w:t>
            </w:r>
            <w:r w:rsidRPr="00E23280">
              <w:rPr>
                <w:rFonts w:cs="Calibri"/>
                <w:color w:val="000000"/>
                <w:szCs w:val="24"/>
              </w:rPr>
              <w:br/>
              <w:t>- Размер на RAM;</w:t>
            </w:r>
            <w:r w:rsidRPr="00E23280">
              <w:rPr>
                <w:rFonts w:cs="Calibri"/>
                <w:color w:val="000000"/>
                <w:szCs w:val="24"/>
              </w:rPr>
              <w:br/>
              <w:t>-Производител, вид, модел, характеристика и сериен номер на дисковете;</w:t>
            </w:r>
            <w:r w:rsidRPr="00E23280">
              <w:rPr>
                <w:rFonts w:cs="Calibri"/>
                <w:color w:val="000000"/>
                <w:szCs w:val="24"/>
              </w:rPr>
              <w:br/>
              <w:t>-Производител, вид, модел, характеристика и сериен номер на видеоадаптера (видеокартата);</w:t>
            </w:r>
            <w:r w:rsidRPr="00E23280">
              <w:rPr>
                <w:rFonts w:cs="Calibri"/>
                <w:color w:val="000000"/>
                <w:szCs w:val="24"/>
              </w:rPr>
              <w:br/>
              <w:t>- Производител, вид, модел, характеристика и сериен номер на мрежови адаптер.</w:t>
            </w:r>
          </w:p>
        </w:tc>
      </w:tr>
      <w:tr w:rsidR="0039564C" w:rsidRPr="00E23280" w14:paraId="58CF1323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3518AF02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0EFE9CB9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събира следната информация за инсталирания софтуер и пачове:</w:t>
            </w:r>
            <w:r w:rsidRPr="00E23280">
              <w:rPr>
                <w:rFonts w:cs="Calibri"/>
                <w:color w:val="000000"/>
                <w:szCs w:val="24"/>
              </w:rPr>
              <w:br/>
              <w:t>- Име;</w:t>
            </w:r>
            <w:r w:rsidRPr="00E23280">
              <w:rPr>
                <w:rFonts w:cs="Calibri"/>
                <w:color w:val="000000"/>
                <w:szCs w:val="24"/>
              </w:rPr>
              <w:br/>
              <w:t>- Версия;</w:t>
            </w:r>
            <w:r w:rsidRPr="00E23280">
              <w:rPr>
                <w:rFonts w:cs="Calibri"/>
                <w:color w:val="000000"/>
                <w:szCs w:val="24"/>
              </w:rPr>
              <w:br/>
              <w:t>- Производител;</w:t>
            </w:r>
            <w:r w:rsidRPr="00E23280">
              <w:rPr>
                <w:rFonts w:cs="Calibri"/>
                <w:color w:val="000000"/>
                <w:szCs w:val="24"/>
              </w:rPr>
              <w:br/>
              <w:t>- Дата на инсталиране.</w:t>
            </w:r>
          </w:p>
        </w:tc>
      </w:tr>
      <w:tr w:rsidR="0039564C" w:rsidRPr="00E23280" w14:paraId="75AF4003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1B1E0CD2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ADE855D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Решението трябва да има възможност за извънредно актуализаране (out-of-band patch management) на Windows устройствата, при публикуване на извънрeдни актуализации. </w:t>
            </w:r>
          </w:p>
        </w:tc>
      </w:tr>
      <w:tr w:rsidR="0039564C" w:rsidRPr="00E23280" w14:paraId="2B95C98F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F379D69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39EBBC1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актуализиране (patch management) на приложения от трети страни (напр. Adobe/Java/...) на Windows устройства</w:t>
            </w:r>
          </w:p>
        </w:tc>
      </w:tr>
      <w:tr w:rsidR="0039564C" w:rsidRPr="00E23280" w14:paraId="221B5FE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C6242E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0AD4420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грануларен контрол над одобряваните пачове, на база устройство/компания/класификация</w:t>
            </w:r>
          </w:p>
        </w:tc>
      </w:tr>
      <w:tr w:rsidR="0039564C" w:rsidRPr="00E23280" w14:paraId="4B52E45D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0F3B30C9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CCB38E7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автоматично одобряване и забраняване на пачове</w:t>
            </w:r>
          </w:p>
        </w:tc>
      </w:tr>
      <w:tr w:rsidR="0039564C" w:rsidRPr="00E23280" w14:paraId="3D87D5EF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60F93B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EA365DE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може да прави инвентаризация на периферни устройства (уебкамери, монитори и други)</w:t>
            </w:r>
          </w:p>
        </w:tc>
      </w:tr>
      <w:tr w:rsidR="0039564C" w:rsidRPr="00E23280" w14:paraId="1F97E27B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1F26F4F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3490519E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събира информация за всяко активиране на даден софтуер (software launches) от Windows устройствата</w:t>
            </w:r>
          </w:p>
        </w:tc>
      </w:tr>
      <w:tr w:rsidR="0039564C" w:rsidRPr="00E23280" w14:paraId="479568BC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0D8587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6C751AF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отдалечено инсталиране на софтуер на Windows, Linux и Mac устройства.</w:t>
            </w:r>
          </w:p>
        </w:tc>
      </w:tr>
      <w:tr w:rsidR="0039564C" w:rsidRPr="00E23280" w14:paraId="45968D9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9DFDD0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C2FECA7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масово инсталиране на софтуерни пакети на множество машини с гъвкав график за стартиране (когато потребителят влезе в операционната система, когато компютърът се рестартира или по предварителен график).</w:t>
            </w:r>
          </w:p>
        </w:tc>
      </w:tr>
      <w:tr w:rsidR="0039564C" w:rsidRPr="00E23280" w14:paraId="633781C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3BC2F2A3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0E318B4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определяне на директорията на крайното устройство, в която да се поставят файловете на пакета. Софтуерът трябва да се инсталира от тази директория.</w:t>
            </w:r>
          </w:p>
        </w:tc>
      </w:tr>
      <w:tr w:rsidR="0039564C" w:rsidRPr="00E23280" w14:paraId="111A9235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37AF86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F984EF9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избор на опция за инсталиране на софтуера (от системния, текущия потребителски или друг акаунт).</w:t>
            </w:r>
          </w:p>
        </w:tc>
      </w:tr>
      <w:tr w:rsidR="0039564C" w:rsidRPr="00E23280" w14:paraId="1F5CD154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367B68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CD20027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отдалечено инсталиране на софтуер (сървърът се свързва с клиента и изпраща софтуера, който да се инсталира).</w:t>
            </w:r>
          </w:p>
        </w:tc>
      </w:tr>
      <w:tr w:rsidR="0039564C" w:rsidRPr="00E23280" w14:paraId="7E95A44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6D7526A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D81909D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изпълняване на vbs скриптове.</w:t>
            </w:r>
          </w:p>
        </w:tc>
      </w:tr>
      <w:tr w:rsidR="0039564C" w:rsidRPr="00E23280" w14:paraId="5FD9CDA6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DCC68C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35DC4F45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изпълняване на bat скриптове.</w:t>
            </w:r>
          </w:p>
        </w:tc>
      </w:tr>
      <w:tr w:rsidR="0039564C" w:rsidRPr="00E23280" w14:paraId="542AE2E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1B3535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1791EC82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изпълняване на powershell скриптове.</w:t>
            </w:r>
          </w:p>
        </w:tc>
      </w:tr>
      <w:tr w:rsidR="0039564C" w:rsidRPr="00E23280" w14:paraId="0DBBDC0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0C4FDA8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E7EB392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дистанционно управление и взаимодействие, чрез стартиране на работна сесия към работни станции - лаптопи и сървъри.</w:t>
            </w:r>
          </w:p>
        </w:tc>
      </w:tr>
      <w:tr w:rsidR="0039564C" w:rsidRPr="00E23280" w14:paraId="21CC23EA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7AF4D94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1E403F61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създаване на персонализирана автоматизация за поддръжка на устройствата.</w:t>
            </w:r>
          </w:p>
        </w:tc>
      </w:tr>
      <w:tr w:rsidR="0039564C" w:rsidRPr="00E23280" w14:paraId="68775D87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F8A79E9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E73B86F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Решенето трябва да предоставя отчети за инсталирания софтуер на крайните устройства.</w:t>
            </w:r>
          </w:p>
        </w:tc>
      </w:tr>
      <w:tr w:rsidR="0039564C" w:rsidRPr="00E23280" w14:paraId="0D23D9C5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64BF0C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A60582E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предоставя отчети за хардуера на крайните устройства.</w:t>
            </w:r>
          </w:p>
        </w:tc>
      </w:tr>
      <w:tr w:rsidR="0039564C" w:rsidRPr="00E23280" w14:paraId="1ED033A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3366141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E1E6331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отчитане на пачовете на крайните устройства</w:t>
            </w:r>
          </w:p>
        </w:tc>
      </w:tr>
      <w:tr w:rsidR="0039564C" w:rsidRPr="00E23280" w14:paraId="00890865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345A7A6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0E161750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Решението трябва да има възможност за одитно отчитане на всяко действие в конзолата за управление </w:t>
            </w:r>
          </w:p>
        </w:tc>
      </w:tr>
      <w:tr w:rsidR="0039564C" w:rsidRPr="00E23280" w14:paraId="5A17284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413C43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55C1ED2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създаване на отчети въз основа на всички данни от инвентаризацията в системата.</w:t>
            </w:r>
          </w:p>
        </w:tc>
      </w:tr>
      <w:tr w:rsidR="0039564C" w:rsidRPr="00E23280" w14:paraId="1223494C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5712703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0F27FF3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може да генерира филтри за различни устройства на базата на текстови файлове (txt, csv)</w:t>
            </w:r>
          </w:p>
        </w:tc>
      </w:tr>
      <w:tr w:rsidR="0039564C" w:rsidRPr="00E23280" w14:paraId="1E82FE90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EBFAF0A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AAB08F2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предоставя централизирана конзола за управление.</w:t>
            </w:r>
          </w:p>
        </w:tc>
      </w:tr>
      <w:tr w:rsidR="0039564C" w:rsidRPr="00E23280" w14:paraId="58B00CE7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26C9B3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3B8AD8E8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диагностика на състоянието на агентите</w:t>
            </w:r>
          </w:p>
        </w:tc>
      </w:tr>
      <w:tr w:rsidR="0039564C" w:rsidRPr="00E23280" w14:paraId="3CC8596A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74EBE4D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18B6EDAA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предоставя съвметимост на всчки системни компоненти с платформите за виртуализация Vmware 6. x, Vmware 7. x, Hyper-V</w:t>
            </w:r>
          </w:p>
        </w:tc>
      </w:tr>
      <w:tr w:rsidR="0039564C" w:rsidRPr="00E23280" w14:paraId="7CB9AEC0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D1B1C5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41BE1FE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мониториране на мрежови устройства без агент</w:t>
            </w:r>
          </w:p>
        </w:tc>
      </w:tr>
      <w:tr w:rsidR="0039564C" w:rsidRPr="00E23280" w14:paraId="39AB1BED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7A720803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03AA5C7F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персонализирано конфигуриране на мониторираните компоненти на различните крайни точки</w:t>
            </w:r>
          </w:p>
        </w:tc>
      </w:tr>
      <w:tr w:rsidR="0039564C" w:rsidRPr="00E23280" w14:paraId="2D5DCA1D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745B17E1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5B00933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Решението трябва да има възможност за конфигуриране на персонализирани табла за управление (dashboards) с мониторираните компоненти (services) </w:t>
            </w:r>
          </w:p>
        </w:tc>
      </w:tr>
      <w:tr w:rsidR="0039564C" w:rsidRPr="00E23280" w14:paraId="10F1AEB1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021F732F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0B9291D7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персонализирано известяване за грешки, базирано на мониторирането</w:t>
            </w:r>
          </w:p>
        </w:tc>
      </w:tr>
      <w:tr w:rsidR="0039564C" w:rsidRPr="00E23280" w14:paraId="26819582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2C76EA5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7EC7CEE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планиране на действия по сканиране на мрежата за устройства и визуализиране на мрежовата топология от устройства</w:t>
            </w:r>
          </w:p>
        </w:tc>
      </w:tr>
      <w:tr w:rsidR="0039564C" w:rsidRPr="00E23280" w14:paraId="37433024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45172B1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3A9E1AB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автоматизирани и персонализирани "self-healing" действия на мониторираните устройства</w:t>
            </w:r>
          </w:p>
        </w:tc>
      </w:tr>
      <w:tr w:rsidR="0039564C" w:rsidRPr="00E23280" w14:paraId="160EFBF5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79AB8CF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5B0ADF8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персонализирано мониториране на мрежовите устройства без агент чрез SNMP/SSH/Telnet</w:t>
            </w:r>
          </w:p>
        </w:tc>
      </w:tr>
      <w:tr w:rsidR="0039564C" w:rsidRPr="00E23280" w14:paraId="71BF621A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7E49907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7CF9621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мониториране чрез syslog</w:t>
            </w:r>
          </w:p>
        </w:tc>
      </w:tr>
      <w:tr w:rsidR="0039564C" w:rsidRPr="00E23280" w14:paraId="65321832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62371D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8D3ECD9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поддръжка на до 35 хил. устройства</w:t>
            </w:r>
          </w:p>
        </w:tc>
      </w:tr>
      <w:tr w:rsidR="0039564C" w:rsidRPr="00E23280" w14:paraId="13EBCA45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DD72E6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31CD387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създаване на бекъп на базата данни.</w:t>
            </w:r>
          </w:p>
        </w:tc>
      </w:tr>
      <w:tr w:rsidR="0039564C" w:rsidRPr="00E23280" w14:paraId="51129DF2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7BB85F1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00E5653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не трябва да позволява повредата на отделни устройства да влияе на цялостната му функционалност.</w:t>
            </w:r>
          </w:p>
        </w:tc>
      </w:tr>
      <w:tr w:rsidR="0039564C" w:rsidRPr="00E23280" w14:paraId="2A7A1EF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242270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EE10B44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достъп до своя уеб интерфейс чрез HTTPS</w:t>
            </w:r>
          </w:p>
        </w:tc>
      </w:tr>
      <w:tr w:rsidR="0039564C" w:rsidRPr="00E23280" w14:paraId="12D69D4F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A03062F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110F6BD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спазва следните изисквания за контрол на достъпа:</w:t>
            </w:r>
            <w:r w:rsidRPr="00E23280">
              <w:rPr>
                <w:rFonts w:cs="Calibri"/>
                <w:color w:val="000000"/>
                <w:szCs w:val="24"/>
              </w:rPr>
              <w:br/>
              <w:t>- Решението трябва да има възможност за удостоверяване на потребителите на базата MS AD;</w:t>
            </w:r>
            <w:r w:rsidRPr="00E23280">
              <w:rPr>
                <w:rFonts w:cs="Calibri"/>
                <w:color w:val="000000"/>
                <w:szCs w:val="24"/>
              </w:rPr>
              <w:br/>
              <w:t>- Решението трябва да има възможност за ролеви модел на достъп за управление (достъп за четене, неограничен достъп, достъп за управление на устройства);</w:t>
            </w:r>
            <w:r w:rsidRPr="00E23280">
              <w:rPr>
                <w:rFonts w:cs="Calibri"/>
                <w:color w:val="000000"/>
                <w:szCs w:val="24"/>
              </w:rPr>
              <w:br/>
              <w:t>- Решението трябва да има възможност за създаване на потребителски акаунти от конзолата за управление.</w:t>
            </w:r>
          </w:p>
        </w:tc>
      </w:tr>
      <w:tr w:rsidR="0039564C" w:rsidRPr="00E23280" w14:paraId="33E492FF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E5DA1B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9119DED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24/7 поддръжка.</w:t>
            </w:r>
          </w:p>
        </w:tc>
      </w:tr>
      <w:tr w:rsidR="0039564C" w:rsidRPr="00E23280" w14:paraId="636D5F67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2E80AE4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AF6A6E3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наличие на вградени топологични карти.</w:t>
            </w:r>
          </w:p>
        </w:tc>
      </w:tr>
      <w:tr w:rsidR="0039564C" w:rsidRPr="00E23280" w14:paraId="75CA1D4C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75F1E5E1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C0CE56B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интеграция с DNG filtering</w:t>
            </w:r>
          </w:p>
        </w:tc>
      </w:tr>
      <w:tr w:rsidR="0039564C" w:rsidRPr="00E23280" w14:paraId="6FB5A7D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5D2EE3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80A56ED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предоставя възможност за добавяне на допълнителен модул при бъдещо закупуване от същия производител  - базов антивирус (native AV)</w:t>
            </w:r>
          </w:p>
        </w:tc>
      </w:tr>
      <w:tr w:rsidR="0039564C" w:rsidRPr="00E23280" w14:paraId="39C57766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6F5234C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557F101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предоставя възможност за добавяне на допълнителен модул при бъдещо закупуване от същия производител  - EDR</w:t>
            </w:r>
          </w:p>
        </w:tc>
      </w:tr>
      <w:tr w:rsidR="0039564C" w:rsidRPr="00E23280" w14:paraId="5F76729C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7825B32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0EF17086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интеграция с допълнителни антивирус, EDR и бекъп компоненти</w:t>
            </w:r>
          </w:p>
        </w:tc>
      </w:tr>
      <w:tr w:rsidR="0039564C" w:rsidRPr="00E23280" w14:paraId="3645A561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E17B1C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4E0BD05F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автоматично инсталиране на Антивирус и EDR на крайните устройства, чрез агента за сигурност</w:t>
            </w:r>
          </w:p>
        </w:tc>
      </w:tr>
      <w:tr w:rsidR="0039564C" w:rsidRPr="00E23280" w14:paraId="78CDB8B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28E63E0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3E73AF6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оптимизирано внедряване на дефиниции чрез локални антивирусни сървъри</w:t>
            </w:r>
          </w:p>
        </w:tc>
      </w:tr>
      <w:tr w:rsidR="0039564C" w:rsidRPr="00E23280" w14:paraId="748364C4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07346462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7FFBA8B0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автоматична и планирана поддръжка на Антивируса и EDR</w:t>
            </w:r>
          </w:p>
        </w:tc>
      </w:tr>
      <w:tr w:rsidR="0039564C" w:rsidRPr="00E23280" w14:paraId="13EBFEE9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6FBDA4B8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96507E0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гъвкавост при инсталиране - локално и облачно</w:t>
            </w:r>
          </w:p>
        </w:tc>
      </w:tr>
      <w:tr w:rsidR="0039564C" w:rsidRPr="00E23280" w14:paraId="140D5A33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F9EDEA6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6CD0745F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предоставяне на предварително изградени шаблони (templates) за наблюдение</w:t>
            </w:r>
          </w:p>
        </w:tc>
      </w:tr>
      <w:tr w:rsidR="0039564C" w:rsidRPr="00E23280" w14:paraId="59E4D588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5F4A0967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36579B12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прилагане на норми към съответните приложения (application compliance)</w:t>
            </w:r>
          </w:p>
        </w:tc>
      </w:tr>
      <w:tr w:rsidR="0039564C" w:rsidRPr="00E23280" w14:paraId="3EBBDCAE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3AE0B400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9662590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персонализиране на PSA интеграция</w:t>
            </w:r>
          </w:p>
        </w:tc>
      </w:tr>
      <w:tr w:rsidR="0039564C" w:rsidRPr="00E23280" w14:paraId="2A7DB8AC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480DD11B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551BE71A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 xml:space="preserve">Решението трябва да има възможност за персонализиране на известия по Email </w:t>
            </w:r>
          </w:p>
        </w:tc>
      </w:tr>
      <w:tr w:rsidR="0039564C" w:rsidRPr="00E23280" w14:paraId="1711BDF6" w14:textId="77777777" w:rsidTr="00B9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4" w:type="dxa"/>
            <w:shd w:val="clear" w:color="auto" w:fill="auto"/>
          </w:tcPr>
          <w:p w14:paraId="34226B5D" w14:textId="77777777" w:rsidR="0039564C" w:rsidRPr="00E23280" w:rsidRDefault="0039564C" w:rsidP="00B91496">
            <w:pPr>
              <w:pStyle w:val="Index1"/>
            </w:pPr>
          </w:p>
        </w:tc>
        <w:tc>
          <w:tcPr>
            <w:tcW w:w="8789" w:type="dxa"/>
            <w:shd w:val="clear" w:color="auto" w:fill="auto"/>
          </w:tcPr>
          <w:p w14:paraId="277D9033" w14:textId="77777777" w:rsidR="0039564C" w:rsidRPr="00E23280" w:rsidRDefault="0039564C" w:rsidP="00B9149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23280">
              <w:rPr>
                <w:rFonts w:cs="Calibri"/>
                <w:color w:val="000000"/>
                <w:szCs w:val="24"/>
              </w:rPr>
              <w:t>Решението трябва да има възможност за интеграция с Intune</w:t>
            </w:r>
          </w:p>
        </w:tc>
      </w:tr>
    </w:tbl>
    <w:p w14:paraId="1EB13A25" w14:textId="77777777" w:rsidR="0039564C" w:rsidRDefault="0039564C" w:rsidP="0039564C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bookmarkEnd w:id="4"/>
    <w:p w14:paraId="101064A0" w14:textId="77777777" w:rsidR="0039564C" w:rsidRDefault="0039564C" w:rsidP="0039564C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FF11707" w14:textId="77777777" w:rsidR="0039564C" w:rsidRDefault="0039564C" w:rsidP="0039564C">
      <w:pPr>
        <w:pStyle w:val="ListParagraph"/>
        <w:numPr>
          <w:ilvl w:val="0"/>
          <w:numId w:val="2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F0D5DA1" w14:textId="77777777" w:rsidR="0039564C" w:rsidRDefault="0039564C" w:rsidP="0039564C">
      <w:pPr>
        <w:pStyle w:val="ListParagraph"/>
        <w:numPr>
          <w:ilvl w:val="0"/>
          <w:numId w:val="2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7ECDCD84" w14:textId="77777777" w:rsidR="0039564C" w:rsidRDefault="0039564C" w:rsidP="0039564C">
      <w:pPr>
        <w:pStyle w:val="ListParagraph"/>
        <w:numPr>
          <w:ilvl w:val="0"/>
          <w:numId w:val="2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8522D9A" w14:textId="77777777" w:rsidR="0039564C" w:rsidRDefault="0039564C" w:rsidP="0039564C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Pr="004078D9">
        <w:rPr>
          <w:rFonts w:cs="Arial"/>
          <w:i/>
          <w:color w:val="000000"/>
        </w:rPr>
        <w:t xml:space="preserve">съгласно т. 4 от </w:t>
      </w:r>
      <w:r>
        <w:rPr>
          <w:rFonts w:cs="Arial"/>
          <w:i/>
          <w:color w:val="000000"/>
        </w:rPr>
        <w:t>поканата, ка</w:t>
      </w:r>
      <w:r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Pr="0019388D">
        <w:rPr>
          <w:rFonts w:cs="Arial"/>
        </w:rPr>
        <w:tab/>
      </w:r>
      <w:r>
        <w:rPr>
          <w:rFonts w:cs="Arial"/>
        </w:rPr>
        <w:t>/</w:t>
      </w:r>
      <w:r w:rsidRPr="0019388D">
        <w:rPr>
          <w:rFonts w:cs="Arial"/>
        </w:rPr>
        <w:tab/>
      </w:r>
    </w:p>
    <w:p w14:paraId="43AC2F1B" w14:textId="77777777" w:rsidR="0039564C" w:rsidRDefault="0039564C" w:rsidP="0039564C">
      <w:pPr>
        <w:spacing w:after="0" w:line="240" w:lineRule="auto"/>
        <w:rPr>
          <w:rFonts w:cs="Arial"/>
        </w:rPr>
      </w:pPr>
    </w:p>
    <w:p w14:paraId="3F98078F" w14:textId="77777777" w:rsidR="0039564C" w:rsidRPr="0019388D" w:rsidRDefault="0039564C" w:rsidP="0039564C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4666D03E" w14:textId="77777777" w:rsidR="0039564C" w:rsidRPr="0019388D" w:rsidRDefault="0039564C" w:rsidP="0039564C">
      <w:pPr>
        <w:spacing w:before="0"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714FA573" w14:textId="77777777" w:rsidR="0039564C" w:rsidRPr="00CC5617" w:rsidRDefault="0039564C" w:rsidP="0039564C">
      <w:pPr>
        <w:spacing w:before="0" w:after="0" w:line="240" w:lineRule="auto"/>
        <w:ind w:left="4956" w:firstLine="0"/>
        <w:rPr>
          <w:rFonts w:cs="Arial"/>
        </w:rPr>
      </w:pPr>
      <w:r w:rsidRPr="00CC5617">
        <w:rPr>
          <w:rFonts w:cs="Arial"/>
        </w:rPr>
        <w:t>[качество на представляващия участника]</w:t>
      </w:r>
    </w:p>
    <w:p w14:paraId="178B1F32" w14:textId="77777777" w:rsidR="0039564C" w:rsidRDefault="0039564C" w:rsidP="0039564C">
      <w:pPr>
        <w:spacing w:after="0" w:line="240" w:lineRule="auto"/>
        <w:ind w:left="4956"/>
        <w:rPr>
          <w:rFonts w:cs="Arial"/>
        </w:rPr>
      </w:pPr>
    </w:p>
    <w:p w14:paraId="4F3882BA" w14:textId="77777777" w:rsidR="0039564C" w:rsidRPr="005D13CB" w:rsidRDefault="0039564C" w:rsidP="0039564C">
      <w:pPr>
        <w:shd w:val="clear" w:color="auto" w:fill="FFFFFF"/>
        <w:spacing w:after="0" w:line="240" w:lineRule="auto"/>
        <w:ind w:firstLine="708"/>
        <w:rPr>
          <w:rFonts w:cs="Arial"/>
          <w:i/>
          <w:lang w:eastAsia="bg-BG"/>
        </w:rPr>
      </w:pPr>
      <w:r w:rsidRPr="005D13CB">
        <w:rPr>
          <w:rFonts w:cs="Arial"/>
          <w:b/>
          <w:i/>
          <w:lang w:eastAsia="bg-BG"/>
        </w:rPr>
        <w:t>Забележка:</w:t>
      </w:r>
      <w:r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.pdf, подписано с</w:t>
      </w:r>
      <w:r>
        <w:rPr>
          <w:rFonts w:cs="Arial"/>
          <w:i/>
          <w:lang w:eastAsia="bg-BG"/>
        </w:rPr>
        <w:t xml:space="preserve"> </w:t>
      </w:r>
      <w:r>
        <w:rPr>
          <w:rFonts w:cs="Arial"/>
          <w:i/>
          <w:szCs w:val="24"/>
          <w:lang w:eastAsia="bg-BG"/>
        </w:rPr>
        <w:t>квалифицирано удостоверение за</w:t>
      </w:r>
      <w:r w:rsidRPr="005D13CB">
        <w:rPr>
          <w:rFonts w:cs="Arial"/>
          <w:i/>
          <w:lang w:eastAsia="bg-BG"/>
        </w:rPr>
        <w:t xml:space="preserve"> квалифициран електронен подпис</w:t>
      </w:r>
      <w:r>
        <w:rPr>
          <w:rFonts w:cs="Arial"/>
          <w:i/>
          <w:lang w:eastAsia="bg-BG"/>
        </w:rPr>
        <w:t>.</w:t>
      </w:r>
    </w:p>
    <w:p w14:paraId="31692E40" w14:textId="77777777" w:rsidR="0085746A" w:rsidRDefault="0085746A"/>
    <w:sectPr w:rsidR="0085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65109"/>
    <w:multiLevelType w:val="multilevel"/>
    <w:tmpl w:val="10C47224"/>
    <w:lvl w:ilvl="0">
      <w:start w:val="1"/>
      <w:numFmt w:val="decimal"/>
      <w:pStyle w:val="Index1"/>
      <w:suff w:val="nothing"/>
      <w:lvlText w:val="REQ.%1."/>
      <w:lvlJc w:val="left"/>
      <w:pPr>
        <w:ind w:left="9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96231358">
    <w:abstractNumId w:val="2"/>
  </w:num>
  <w:num w:numId="2" w16cid:durableId="840706701">
    <w:abstractNumId w:val="3"/>
  </w:num>
  <w:num w:numId="3" w16cid:durableId="1030376839">
    <w:abstractNumId w:val="1"/>
  </w:num>
  <w:num w:numId="4" w16cid:durableId="435709920">
    <w:abstractNumId w:val="0"/>
  </w:num>
  <w:num w:numId="5" w16cid:durableId="135156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4C"/>
    <w:rsid w:val="00132B9F"/>
    <w:rsid w:val="0039564C"/>
    <w:rsid w:val="006A4F3D"/>
    <w:rsid w:val="00724862"/>
    <w:rsid w:val="0085746A"/>
    <w:rsid w:val="008806C4"/>
    <w:rsid w:val="00E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2DBD"/>
  <w15:chartTrackingRefBased/>
  <w15:docId w15:val="{56D93989-FC82-4AE3-82BF-0F61FA4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4C"/>
    <w:pPr>
      <w:spacing w:before="120" w:after="120" w:line="360" w:lineRule="auto"/>
      <w:ind w:firstLine="397"/>
      <w:jc w:val="both"/>
    </w:pPr>
    <w:rPr>
      <w:rFonts w:ascii="Arial Narrow" w:eastAsia="Times New Roman" w:hAnsi="Arial Narro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4C"/>
    <w:pPr>
      <w:spacing w:line="240" w:lineRule="auto"/>
      <w:ind w:firstLine="0"/>
    </w:pPr>
  </w:style>
  <w:style w:type="paragraph" w:customStyle="1" w:styleId="TableParagraph">
    <w:name w:val="Table Paragraph"/>
    <w:basedOn w:val="Normal"/>
    <w:uiPriority w:val="1"/>
    <w:qFormat/>
    <w:rsid w:val="0039564C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BodyText">
    <w:name w:val="Body Text"/>
    <w:basedOn w:val="Normal"/>
    <w:link w:val="BodyTextChar"/>
    <w:rsid w:val="0039564C"/>
    <w:pPr>
      <w:suppressAutoHyphens/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39564C"/>
    <w:rPr>
      <w:rFonts w:ascii="Calibri" w:eastAsia="PMingLiU" w:hAnsi="Calibri" w:cs="Times New Roman"/>
      <w:lang w:eastAsia="zh-CN"/>
    </w:rPr>
  </w:style>
  <w:style w:type="paragraph" w:styleId="Index1">
    <w:name w:val="index 1"/>
    <w:basedOn w:val="Normal"/>
    <w:next w:val="Normal"/>
    <w:autoRedefine/>
    <w:uiPriority w:val="99"/>
    <w:qFormat/>
    <w:rsid w:val="0039564C"/>
    <w:pPr>
      <w:numPr>
        <w:numId w:val="4"/>
      </w:numPr>
      <w:spacing w:after="0" w:line="240" w:lineRule="auto"/>
      <w:jc w:val="left"/>
    </w:pPr>
    <w:rPr>
      <w:rFonts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2025-02-14T13:00:00Z</dcterms:created>
  <dcterms:modified xsi:type="dcterms:W3CDTF">2025-02-14T13:00:00Z</dcterms:modified>
</cp:coreProperties>
</file>